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5ACA6A30" w14:textId="50E515C1" w:rsidR="00EC124D" w:rsidRPr="00EC124D" w:rsidRDefault="00EC124D"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C124D">
        <w:rPr>
          <w:rFonts w:ascii="Times New Roman" w:hAnsi="Times New Roman"/>
          <w:b/>
          <w:sz w:val="24"/>
          <w:szCs w:val="24"/>
        </w:rPr>
        <w:t>ENV 12 (and ENV 11 &amp; DES 6)</w:t>
      </w:r>
    </w:p>
    <w:p w14:paraId="22589838" w14:textId="77777777" w:rsidR="00EC124D" w:rsidRDefault="00EC124D" w:rsidP="00433EF1">
      <w:pPr>
        <w:ind w:left="0" w:firstLine="0"/>
        <w:jc w:val="left"/>
        <w:rPr>
          <w:rFonts w:ascii="Times New Roman" w:hAnsi="Times New Roman"/>
          <w:sz w:val="24"/>
          <w:szCs w:val="24"/>
        </w:rPr>
      </w:pPr>
    </w:p>
    <w:p w14:paraId="3BD45B95" w14:textId="77777777" w:rsidR="00EC124D" w:rsidRDefault="00EC124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6CCEA1F3"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23C58D68"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EC124D">
        <w:rPr>
          <w:rFonts w:ascii="Arial" w:hAnsi="Arial" w:cs="Arial"/>
          <w:szCs w:val="22"/>
        </w:rPr>
        <w:tab/>
      </w:r>
      <w:r w:rsidR="00EC124D">
        <w:rPr>
          <w:rFonts w:ascii="Arial" w:hAnsi="Arial" w:cs="Arial"/>
          <w:szCs w:val="22"/>
        </w:rPr>
        <w:tab/>
      </w:r>
      <w:r w:rsidR="00EC124D">
        <w:rPr>
          <w:rFonts w:ascii="Arial" w:hAnsi="Arial" w:cs="Arial"/>
          <w:szCs w:val="22"/>
        </w:rPr>
        <w:tab/>
      </w:r>
      <w:r w:rsidR="00EC124D" w:rsidRPr="00EC124D">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4E27D8F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C9B9629" w:rsidR="00EE1E98" w:rsidRPr="00EC124D" w:rsidRDefault="00EE1E98" w:rsidP="00EE1E98">
            <w:pPr>
              <w:ind w:left="0" w:firstLine="0"/>
              <w:jc w:val="left"/>
              <w:rPr>
                <w:rFonts w:ascii="Times New Roman" w:hAnsi="Times New Roman"/>
                <w:b/>
                <w:sz w:val="24"/>
                <w:szCs w:val="24"/>
                <w:u w:val="single"/>
              </w:rPr>
            </w:pPr>
          </w:p>
          <w:p w14:paraId="6252DC82" w14:textId="4007B965" w:rsidR="00EE1E98" w:rsidRPr="00EC124D" w:rsidRDefault="00EC124D" w:rsidP="00EE1E98">
            <w:pPr>
              <w:ind w:left="0" w:firstLine="0"/>
              <w:jc w:val="left"/>
              <w:rPr>
                <w:rFonts w:ascii="Times New Roman" w:hAnsi="Times New Roman"/>
                <w:b/>
                <w:sz w:val="24"/>
                <w:szCs w:val="24"/>
                <w:u w:val="single"/>
              </w:rPr>
            </w:pPr>
            <w:r w:rsidRPr="00EC124D">
              <w:rPr>
                <w:rFonts w:ascii="Times New Roman" w:hAnsi="Times New Roman"/>
                <w:b/>
                <w:sz w:val="24"/>
                <w:szCs w:val="24"/>
                <w:u w:val="single"/>
              </w:rPr>
              <w:t>ENV 12 - Pollution - Impact of Development on Human Health, the Natural Environment and/or Local Amenity</w:t>
            </w:r>
          </w:p>
          <w:p w14:paraId="668C4646" w14:textId="77777777" w:rsidR="00EC124D" w:rsidRDefault="00EC124D" w:rsidP="00EE1E98">
            <w:pPr>
              <w:ind w:left="0" w:firstLine="0"/>
              <w:jc w:val="left"/>
              <w:rPr>
                <w:rFonts w:ascii="Times New Roman" w:hAnsi="Times New Roman"/>
                <w:b/>
                <w:sz w:val="24"/>
                <w:szCs w:val="24"/>
                <w:u w:val="single"/>
              </w:rPr>
            </w:pPr>
          </w:p>
          <w:p w14:paraId="69BA8484" w14:textId="069F7B8F" w:rsidR="00EC124D" w:rsidRPr="00EC124D" w:rsidRDefault="00EC124D" w:rsidP="00EE1E98">
            <w:pPr>
              <w:ind w:left="0" w:firstLine="0"/>
              <w:jc w:val="left"/>
              <w:rPr>
                <w:rFonts w:ascii="Times New Roman" w:hAnsi="Times New Roman"/>
                <w:b/>
                <w:sz w:val="24"/>
                <w:szCs w:val="24"/>
                <w:u w:val="single"/>
              </w:rPr>
            </w:pPr>
            <w:r w:rsidRPr="00EC124D">
              <w:rPr>
                <w:rFonts w:ascii="Times New Roman" w:hAnsi="Times New Roman"/>
                <w:b/>
                <w:sz w:val="24"/>
                <w:szCs w:val="24"/>
                <w:u w:val="single"/>
              </w:rPr>
              <w:t>(and ENV 11 - Pollution - Impact from Existing Existing and/or Previous Land Uses on New Development</w:t>
            </w:r>
          </w:p>
          <w:p w14:paraId="03603834" w14:textId="18B556A6" w:rsidR="00EC124D" w:rsidRPr="00EC124D" w:rsidRDefault="00EC124D" w:rsidP="00EE1E98">
            <w:pPr>
              <w:ind w:left="0" w:firstLine="0"/>
              <w:jc w:val="left"/>
              <w:rPr>
                <w:rFonts w:ascii="Times New Roman" w:hAnsi="Times New Roman"/>
                <w:b/>
                <w:sz w:val="24"/>
                <w:szCs w:val="24"/>
                <w:u w:val="single"/>
              </w:rPr>
            </w:pPr>
            <w:r w:rsidRPr="00EC124D">
              <w:rPr>
                <w:rFonts w:ascii="Times New Roman" w:hAnsi="Times New Roman"/>
                <w:b/>
                <w:sz w:val="24"/>
                <w:szCs w:val="24"/>
                <w:u w:val="single"/>
              </w:rPr>
              <w:t>And DES6 - Residential Amenity)</w:t>
            </w:r>
          </w:p>
          <w:p w14:paraId="7FC9D274" w14:textId="77777777" w:rsidR="00EC124D" w:rsidRDefault="00EC124D" w:rsidP="00EE1E98">
            <w:pPr>
              <w:ind w:left="0" w:firstLine="0"/>
              <w:jc w:val="left"/>
              <w:rPr>
                <w:rFonts w:ascii="Times New Roman" w:hAnsi="Times New Roman"/>
                <w:sz w:val="24"/>
                <w:szCs w:val="24"/>
              </w:rPr>
            </w:pPr>
          </w:p>
          <w:p w14:paraId="007C00CE"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t>Whilst we have no issue with the wording as such, we feel that it (and the Plan as a whole) misses a vital opportunity to include a robust Dark Skies policy that currently leaves the Plan unsound.</w:t>
            </w:r>
          </w:p>
          <w:p w14:paraId="30377DEF" w14:textId="77777777" w:rsidR="00EC124D" w:rsidRPr="00EC124D" w:rsidRDefault="00EC124D" w:rsidP="00EC124D">
            <w:pPr>
              <w:ind w:left="0" w:firstLine="0"/>
              <w:jc w:val="left"/>
              <w:rPr>
                <w:rFonts w:ascii="Times New Roman" w:hAnsi="Times New Roman"/>
                <w:sz w:val="24"/>
                <w:szCs w:val="24"/>
              </w:rPr>
            </w:pPr>
          </w:p>
          <w:p w14:paraId="5BE6FBE9"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t>The NPPF does NOT restrict policy on light pollution merely to controlling or minimising additional light pollution arising from new development, but requires local authorities to adopt a more proactive position to replace poor design and enhance (not just conserve) the environment, including intrinsically dark landscapes and wildlife, not just people’s local amenity.</w:t>
            </w:r>
          </w:p>
          <w:p w14:paraId="475B06ED" w14:textId="77777777" w:rsidR="00EC124D" w:rsidRPr="00EC124D" w:rsidRDefault="00EC124D" w:rsidP="00EC124D">
            <w:pPr>
              <w:ind w:left="0" w:firstLine="0"/>
              <w:jc w:val="left"/>
              <w:rPr>
                <w:rFonts w:ascii="Times New Roman" w:hAnsi="Times New Roman"/>
                <w:sz w:val="24"/>
                <w:szCs w:val="24"/>
              </w:rPr>
            </w:pPr>
          </w:p>
          <w:p w14:paraId="0A259C33"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t>As a policy objective “Dark Skies” is the positive counterpart of tackling light pollution and includes not only preventing additional new intrusion but also seeking to remedy existing problems. It would be particularly of relevance in relation to maintaining and enhancing the tranquillity of the North Wessex Downs Area of Outstanding Natural Beauty.</w:t>
            </w:r>
          </w:p>
          <w:p w14:paraId="5FE60BCB" w14:textId="77777777" w:rsidR="00EC124D" w:rsidRPr="00EC124D" w:rsidRDefault="00EC124D" w:rsidP="00EC124D">
            <w:pPr>
              <w:ind w:left="0" w:firstLine="0"/>
              <w:jc w:val="left"/>
              <w:rPr>
                <w:rFonts w:ascii="Times New Roman" w:hAnsi="Times New Roman"/>
                <w:sz w:val="24"/>
                <w:szCs w:val="24"/>
              </w:rPr>
            </w:pPr>
          </w:p>
          <w:p w14:paraId="175F5E97"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lastRenderedPageBreak/>
              <w:t xml:space="preserve">It may be helpful to refer to CPRE’s report </w:t>
            </w:r>
            <w:r w:rsidRPr="00EC124D">
              <w:rPr>
                <w:rFonts w:ascii="Times New Roman" w:hAnsi="Times New Roman"/>
                <w:i/>
                <w:sz w:val="24"/>
                <w:szCs w:val="24"/>
              </w:rPr>
              <w:t xml:space="preserve">Night Blight </w:t>
            </w:r>
            <w:r w:rsidRPr="00EC124D">
              <w:rPr>
                <w:rFonts w:ascii="Times New Roman" w:hAnsi="Times New Roman"/>
                <w:sz w:val="24"/>
                <w:szCs w:val="24"/>
              </w:rPr>
              <w:t xml:space="preserve">which has revealed more about the nature of problem caused by light pollution, and has also highlighted ways in which it can not only be contained but actively reduced. </w:t>
            </w:r>
          </w:p>
          <w:p w14:paraId="40BC734A" w14:textId="77777777" w:rsidR="00EC124D" w:rsidRPr="00EC124D" w:rsidRDefault="00EC124D" w:rsidP="00EC124D">
            <w:pPr>
              <w:ind w:left="0" w:firstLine="0"/>
              <w:jc w:val="left"/>
              <w:rPr>
                <w:rFonts w:ascii="Times New Roman" w:hAnsi="Times New Roman"/>
                <w:sz w:val="24"/>
                <w:szCs w:val="24"/>
              </w:rPr>
            </w:pPr>
          </w:p>
          <w:p w14:paraId="189FACB6"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t xml:space="preserve">(See: </w:t>
            </w:r>
            <w:hyperlink r:id="rId10" w:history="1">
              <w:r w:rsidRPr="00EC124D">
                <w:rPr>
                  <w:rStyle w:val="Hyperlink"/>
                  <w:rFonts w:ascii="Times New Roman" w:hAnsi="Times New Roman"/>
                  <w:sz w:val="24"/>
                  <w:szCs w:val="24"/>
                </w:rPr>
                <w:t>https://nightblight.cpre.org.uk/images/resources/Night_Blight_cpre.pdf</w:t>
              </w:r>
            </w:hyperlink>
            <w:r w:rsidRPr="00EC124D">
              <w:rPr>
                <w:rFonts w:ascii="Times New Roman" w:hAnsi="Times New Roman"/>
                <w:sz w:val="24"/>
                <w:szCs w:val="24"/>
              </w:rPr>
              <w:t xml:space="preserve">).  </w:t>
            </w:r>
          </w:p>
          <w:p w14:paraId="77DCA3FE" w14:textId="77777777" w:rsidR="00EC124D" w:rsidRDefault="00EC124D" w:rsidP="00EE1E98">
            <w:pPr>
              <w:ind w:left="0" w:firstLine="0"/>
              <w:jc w:val="left"/>
              <w:rPr>
                <w:rFonts w:ascii="Times New Roman" w:hAnsi="Times New Roman"/>
                <w:sz w:val="24"/>
                <w:szCs w:val="24"/>
              </w:rPr>
            </w:pPr>
          </w:p>
          <w:p w14:paraId="2E70E723" w14:textId="77777777" w:rsidR="00EC124D" w:rsidRDefault="00EC124D"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03FC072F" w14:textId="77777777" w:rsidR="00EC124D" w:rsidRPr="00EC124D" w:rsidRDefault="00EC124D" w:rsidP="00EC124D">
            <w:pPr>
              <w:ind w:left="0" w:firstLine="0"/>
              <w:jc w:val="left"/>
              <w:rPr>
                <w:rFonts w:ascii="Times New Roman" w:hAnsi="Times New Roman"/>
                <w:sz w:val="24"/>
                <w:szCs w:val="24"/>
              </w:rPr>
            </w:pPr>
            <w:r w:rsidRPr="00EC124D">
              <w:rPr>
                <w:rFonts w:ascii="Times New Roman" w:hAnsi="Times New Roman"/>
                <w:sz w:val="24"/>
                <w:szCs w:val="24"/>
              </w:rPr>
              <w:t xml:space="preserve">The key recommendations of CPRE’s nationwide study on Dark Skies </w:t>
            </w:r>
            <w:r w:rsidRPr="00EC124D">
              <w:rPr>
                <w:rFonts w:ascii="Times New Roman" w:hAnsi="Times New Roman"/>
                <w:i/>
                <w:sz w:val="24"/>
                <w:szCs w:val="24"/>
              </w:rPr>
              <w:t xml:space="preserve">Shedding Light </w:t>
            </w:r>
            <w:r w:rsidRPr="00EC124D">
              <w:rPr>
                <w:rFonts w:ascii="Times New Roman" w:hAnsi="Times New Roman"/>
                <w:sz w:val="24"/>
                <w:szCs w:val="24"/>
              </w:rPr>
              <w:t xml:space="preserve">(2014) should be considered: </w:t>
            </w:r>
          </w:p>
          <w:p w14:paraId="76AC4C65" w14:textId="77777777" w:rsidR="00EC124D" w:rsidRPr="00EC124D" w:rsidRDefault="00EC124D" w:rsidP="00EC124D">
            <w:pPr>
              <w:ind w:left="0" w:firstLine="0"/>
              <w:jc w:val="left"/>
              <w:rPr>
                <w:rFonts w:ascii="Times New Roman" w:hAnsi="Times New Roman"/>
                <w:sz w:val="24"/>
                <w:szCs w:val="24"/>
              </w:rPr>
            </w:pPr>
          </w:p>
          <w:p w14:paraId="4AFBB2FB"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Policies to control light pollution should include identifying existing dark areas that need protecting.</w:t>
            </w:r>
          </w:p>
          <w:p w14:paraId="350E1D6D"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A strong presumption against new lighting in existing dark areas, unless essential as part of a new development or for public safety reasons that have been clearly demonstrated.</w:t>
            </w:r>
          </w:p>
          <w:p w14:paraId="798BBB0E"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Street lighting policy to include Environmental Lighting Zones to ensure that the appropriate lighting levels with very strict requirements applying in identified dark areas.</w:t>
            </w:r>
          </w:p>
          <w:p w14:paraId="00940DD6"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 xml:space="preserve">Adoption of part-night lighting schemes (e.g. switching off between midnight and 5am) or dimming. </w:t>
            </w:r>
          </w:p>
          <w:p w14:paraId="4AE3870F"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 xml:space="preserve">Careful consideration (in conjunction with Highways authorities) to the type of Light Emitting Diodes (LED) lighting allowed and the potential impacts that higher temperature blue rich lighting has on ecology and on human health. </w:t>
            </w:r>
          </w:p>
          <w:p w14:paraId="15C12CC2"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Targets (in conjunction with Highways authorities) for replacing all their street and road lights with less light polluting types.</w:t>
            </w:r>
          </w:p>
          <w:p w14:paraId="2EDED968"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 xml:space="preserve">Testing in situ of any new street lighting before being rolled out across a wider area. </w:t>
            </w:r>
          </w:p>
          <w:p w14:paraId="364736D6" w14:textId="77777777" w:rsidR="00EC124D" w:rsidRPr="00EC124D" w:rsidRDefault="00EC124D" w:rsidP="00EC124D">
            <w:pPr>
              <w:numPr>
                <w:ilvl w:val="0"/>
                <w:numId w:val="11"/>
              </w:numPr>
              <w:jc w:val="left"/>
              <w:rPr>
                <w:rFonts w:ascii="Times New Roman" w:hAnsi="Times New Roman"/>
                <w:sz w:val="24"/>
                <w:szCs w:val="24"/>
              </w:rPr>
            </w:pPr>
            <w:r w:rsidRPr="00EC124D">
              <w:rPr>
                <w:rFonts w:ascii="Times New Roman" w:hAnsi="Times New Roman"/>
                <w:sz w:val="24"/>
                <w:szCs w:val="24"/>
              </w:rPr>
              <w:t>Adopt monitoring procedures that include collaboration with the Institution of Lighting Professionals/LANTERNS research project which aims to quantify any effects of changes to street lighting on road traffic accidents and crime.</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4816B75A">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01918E8F" w14:textId="2A84C267" w:rsidR="007D14DB" w:rsidRDefault="007D14DB" w:rsidP="007D14DB">
                            <w:pPr>
                              <w:ind w:left="0"/>
                              <w:jc w:val="center"/>
                            </w:pPr>
                            <w:r w:rsidRPr="007D14DB">
                              <w:sym w:font="Wingdings" w:char="F0FC"/>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01918E8F" w14:textId="2A84C267" w:rsidR="007D14DB" w:rsidRDefault="007D14DB" w:rsidP="007D14DB">
                      <w:pPr>
                        <w:ind w:left="0"/>
                        <w:jc w:val="center"/>
                      </w:pPr>
                      <w:r w:rsidRPr="007D14DB">
                        <w:sym w:font="Wingdings" w:char="F0FC"/>
                      </w:r>
                      <w:bookmarkStart w:id="1" w:name="_GoBack"/>
                      <w:bookmarkEnd w:id="1"/>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1"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lastRenderedPageBreak/>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2"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3"/>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1B0E9" w14:textId="77777777" w:rsidR="00F55E06" w:rsidRDefault="00F55E06">
      <w:r>
        <w:separator/>
      </w:r>
    </w:p>
  </w:endnote>
  <w:endnote w:type="continuationSeparator" w:id="0">
    <w:p w14:paraId="3D09B8F6" w14:textId="77777777" w:rsidR="00F55E06" w:rsidRDefault="00F55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7D14DB">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029BB" w14:textId="77777777" w:rsidR="00F55E06" w:rsidRDefault="00F55E06">
      <w:r>
        <w:separator/>
      </w:r>
    </w:p>
  </w:footnote>
  <w:footnote w:type="continuationSeparator" w:id="0">
    <w:p w14:paraId="2679AA6B" w14:textId="77777777" w:rsidR="00F55E06" w:rsidRDefault="00F55E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7">
    <w:nsid w:val="7D51664F"/>
    <w:multiLevelType w:val="hybridMultilevel"/>
    <w:tmpl w:val="5DF8876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D14DB"/>
    <w:rsid w:val="007E5B5F"/>
    <w:rsid w:val="00853890"/>
    <w:rsid w:val="00870132"/>
    <w:rsid w:val="008857CF"/>
    <w:rsid w:val="00887CDA"/>
    <w:rsid w:val="00894AC4"/>
    <w:rsid w:val="008B4DF0"/>
    <w:rsid w:val="008C42B3"/>
    <w:rsid w:val="008E2CA0"/>
    <w:rsid w:val="008E54D4"/>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714B2"/>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C124D"/>
    <w:rsid w:val="00EE1E98"/>
    <w:rsid w:val="00EF4EC2"/>
    <w:rsid w:val="00F27CB0"/>
    <w:rsid w:val="00F55E06"/>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lanning.policy@southoxon.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ightblight.cpre.org.uk/images/resources/Night_Blight_cpre.pdf"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8849</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2017-11-30T11:44:00Z</dcterms:created>
  <dcterms:modified xsi:type="dcterms:W3CDTF">2017-11-30T11:44:00Z</dcterms:modified>
</cp:coreProperties>
</file>