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9"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5E08B01" w:rsidR="00853890" w:rsidRPr="00D8014D" w:rsidRDefault="000373C0"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492A3364" w:rsidR="00853890" w:rsidRPr="00D8014D" w:rsidRDefault="000373C0"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3E645EA6" w:rsidR="00853890" w:rsidRPr="00D8014D" w:rsidRDefault="000373C0"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0A5556FA"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373C0">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3959578F" w:rsidR="00853890" w:rsidRPr="00D8014D" w:rsidRDefault="000373C0"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0373C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0373C0" w:rsidRPr="004F71B3" w:rsidRDefault="000373C0" w:rsidP="000373C0">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45357294" w:rsidR="000373C0" w:rsidRPr="00D8014D" w:rsidRDefault="000373C0" w:rsidP="000373C0">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0373C0" w:rsidRPr="004F71B3" w:rsidRDefault="000373C0" w:rsidP="000373C0">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0373C0" w:rsidRPr="004F71B3" w:rsidRDefault="000373C0" w:rsidP="000373C0">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0373C0" w:rsidRPr="004F71B3" w:rsidRDefault="000373C0" w:rsidP="000373C0">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35C2DBFC"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0373C0" w:rsidRPr="004F71B3" w:rsidRDefault="000373C0" w:rsidP="000373C0">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B24050D" w:rsidR="000373C0" w:rsidRPr="00D8014D" w:rsidRDefault="000373C0" w:rsidP="000373C0">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0373C0" w:rsidRPr="004F71B3" w:rsidRDefault="000373C0" w:rsidP="000373C0">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01FF8A0" w:rsidR="000373C0" w:rsidRPr="00D8014D" w:rsidRDefault="000373C0" w:rsidP="000373C0">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0373C0" w:rsidRPr="004F71B3" w:rsidRDefault="000373C0" w:rsidP="000373C0">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581863CF"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0373C0" w:rsidRPr="00D8014D" w:rsidRDefault="000373C0" w:rsidP="000373C0">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0373C0" w:rsidRPr="00D8014D" w:rsidRDefault="000373C0" w:rsidP="000373C0">
            <w:pPr>
              <w:ind w:left="0" w:firstLine="0"/>
              <w:jc w:val="left"/>
              <w:rPr>
                <w:rFonts w:ascii="Arial" w:hAnsi="Arial" w:cs="Arial"/>
                <w:color w:val="FFFFFF"/>
                <w:sz w:val="20"/>
                <w:szCs w:val="24"/>
              </w:rPr>
            </w:pPr>
          </w:p>
        </w:tc>
      </w:tr>
      <w:tr w:rsidR="000373C0"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0373C0" w:rsidRDefault="000373C0" w:rsidP="000373C0">
            <w:pPr>
              <w:ind w:left="0" w:firstLine="0"/>
              <w:jc w:val="left"/>
              <w:rPr>
                <w:rFonts w:ascii="Arial" w:hAnsi="Arial" w:cs="Arial"/>
                <w:b/>
                <w:sz w:val="24"/>
                <w:szCs w:val="24"/>
              </w:rPr>
            </w:pPr>
          </w:p>
          <w:p w14:paraId="2AABD0FA" w14:textId="586BC817" w:rsidR="000373C0" w:rsidRPr="00330D40" w:rsidRDefault="000373C0" w:rsidP="000373C0">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0373C0" w:rsidRPr="00D8014D" w:rsidRDefault="000373C0" w:rsidP="000373C0">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0373C0" w:rsidRPr="00D8014D" w:rsidRDefault="000373C0" w:rsidP="000373C0">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6036575"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FB2040F"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5F355F0"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471301D0" w14:textId="77777777" w:rsidR="005633BC"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p>
    <w:p w14:paraId="17475DAE" w14:textId="77777777" w:rsidR="005633BC" w:rsidRPr="005633BC" w:rsidRDefault="005633BC" w:rsidP="00433EF1">
      <w:pPr>
        <w:ind w:left="0" w:firstLine="0"/>
        <w:jc w:val="left"/>
        <w:rPr>
          <w:rFonts w:ascii="Times New Roman" w:hAnsi="Times New Roman"/>
          <w:b/>
          <w:szCs w:val="22"/>
        </w:rPr>
      </w:pPr>
      <w:r w:rsidRPr="005633BC">
        <w:rPr>
          <w:rFonts w:ascii="Times New Roman" w:hAnsi="Times New Roman"/>
          <w:b/>
          <w:szCs w:val="22"/>
        </w:rPr>
        <w:t>4.1 to 4.7 &amp;</w:t>
      </w:r>
      <w:r w:rsidRPr="005633BC">
        <w:rPr>
          <w:rFonts w:ascii="Times New Roman" w:hAnsi="Times New Roman"/>
          <w:b/>
          <w:szCs w:val="22"/>
        </w:rPr>
        <w:tab/>
      </w:r>
      <w:r w:rsidRPr="005633BC">
        <w:rPr>
          <w:rFonts w:ascii="Times New Roman" w:hAnsi="Times New Roman"/>
          <w:b/>
          <w:szCs w:val="22"/>
        </w:rPr>
        <w:tab/>
        <w:t>Sustainability Appraisal, Appendix N</w:t>
      </w:r>
    </w:p>
    <w:p w14:paraId="529ABD48" w14:textId="324DBD04" w:rsidR="00A4481B" w:rsidRPr="005633BC" w:rsidRDefault="005633BC" w:rsidP="005633BC">
      <w:pPr>
        <w:ind w:left="1440" w:firstLine="720"/>
        <w:jc w:val="left"/>
        <w:rPr>
          <w:rFonts w:ascii="Times New Roman" w:hAnsi="Times New Roman"/>
          <w:b/>
          <w:szCs w:val="22"/>
        </w:rPr>
      </w:pPr>
      <w:r>
        <w:rPr>
          <w:rFonts w:ascii="Times New Roman" w:hAnsi="Times New Roman"/>
          <w:b/>
          <w:szCs w:val="22"/>
        </w:rPr>
        <w:t>&amp;</w:t>
      </w:r>
      <w:r w:rsidRPr="005633BC">
        <w:rPr>
          <w:rFonts w:ascii="Times New Roman" w:hAnsi="Times New Roman"/>
          <w:b/>
          <w:szCs w:val="22"/>
        </w:rPr>
        <w:t xml:space="preserve"> Policy 47a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0C69A4C"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FB390AD"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5345F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1248E5" w:rsidRPr="005633BC">
        <w:rPr>
          <w:rFonts w:ascii="Arial" w:hAnsi="Arial" w:cs="Arial"/>
          <w:b/>
          <w:szCs w:val="22"/>
        </w:rPr>
        <w:t>NO</w:t>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6DA666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4070B5C"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6B591BEA"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633BC">
        <w:rPr>
          <w:rFonts w:ascii="Arial" w:hAnsi="Arial" w:cs="Arial"/>
          <w:szCs w:val="22"/>
        </w:rPr>
        <w:tab/>
      </w:r>
      <w:r w:rsidR="005C7CD3" w:rsidRPr="005633BC">
        <w:rPr>
          <w:rFonts w:ascii="Arial" w:hAnsi="Arial" w:cs="Arial"/>
          <w:b/>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5BFEF4C"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3AE509D"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34B8FF05"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4E5AC0">
        <w:rPr>
          <w:rFonts w:ascii="Arial" w:hAnsi="Arial" w:cs="Arial"/>
          <w:szCs w:val="22"/>
        </w:rPr>
        <w:t>YES</w:t>
      </w:r>
      <w:r w:rsidR="00330D40">
        <w:rPr>
          <w:rFonts w:ascii="Arial" w:hAnsi="Arial" w:cs="Arial"/>
          <w:szCs w:val="22"/>
        </w:rPr>
        <w:t xml:space="preserv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285262">
        <w:trPr>
          <w:trHeight w:val="1841"/>
        </w:trPr>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16EC3386" w14:textId="7FBC3FF6" w:rsidR="001248E5" w:rsidRPr="001248E5" w:rsidRDefault="001248E5" w:rsidP="001248E5">
            <w:pPr>
              <w:ind w:left="0" w:firstLine="0"/>
              <w:jc w:val="left"/>
              <w:rPr>
                <w:rFonts w:ascii="Times New Roman" w:hAnsi="Times New Roman"/>
                <w:sz w:val="24"/>
                <w:szCs w:val="24"/>
                <w:u w:val="single"/>
              </w:rPr>
            </w:pPr>
            <w:r>
              <w:rPr>
                <w:rFonts w:ascii="Times New Roman" w:hAnsi="Times New Roman"/>
                <w:sz w:val="24"/>
                <w:szCs w:val="24"/>
                <w:u w:val="single"/>
              </w:rPr>
              <w:t xml:space="preserve">The Need for </w:t>
            </w:r>
            <w:r w:rsidRPr="001248E5">
              <w:rPr>
                <w:rFonts w:ascii="Times New Roman" w:hAnsi="Times New Roman"/>
                <w:sz w:val="24"/>
                <w:szCs w:val="24"/>
                <w:u w:val="single"/>
              </w:rPr>
              <w:t>Phasing</w:t>
            </w:r>
          </w:p>
          <w:p w14:paraId="7E814676" w14:textId="77777777" w:rsidR="001248E5" w:rsidRDefault="001248E5" w:rsidP="001248E5">
            <w:pPr>
              <w:ind w:left="0" w:firstLine="0"/>
              <w:jc w:val="left"/>
              <w:rPr>
                <w:rFonts w:ascii="Times New Roman" w:hAnsi="Times New Roman"/>
                <w:sz w:val="24"/>
                <w:szCs w:val="24"/>
              </w:rPr>
            </w:pPr>
          </w:p>
          <w:p w14:paraId="6056DF89" w14:textId="77777777" w:rsidR="001248E5" w:rsidRDefault="001248E5" w:rsidP="001248E5">
            <w:pPr>
              <w:ind w:left="0" w:firstLine="0"/>
              <w:jc w:val="left"/>
              <w:rPr>
                <w:rFonts w:ascii="Times New Roman" w:hAnsi="Times New Roman"/>
                <w:sz w:val="24"/>
                <w:szCs w:val="24"/>
              </w:rPr>
            </w:pPr>
            <w:r w:rsidRPr="001248E5">
              <w:rPr>
                <w:rFonts w:ascii="Times New Roman" w:hAnsi="Times New Roman"/>
                <w:sz w:val="24"/>
                <w:szCs w:val="24"/>
              </w:rPr>
              <w:t>The District Council and the Inspector appear to have a common understanding, that we do not share, that in order to satisfy the five-year housing supply requirement the Council must demonstrate that it has a sufficient housing supply to 2031 – 14 years from now. Perhaps as a result, we find no suggestion in the Plan that the housing allocations shown in the draft will be phased over the period of the Plan. In the absence of such a phasing scheme, it is only too likely that, once the Plan is adopted, the developers will bring planning applications forward as soon as practicable and in an uncontrolled sequence, with the risk of substantial mismatches between the putative growth in jobs and the availability of housing. This adds to the severe risk, to which we have drawn attention before, that much of the new housing will be taken up by people commuting to work outside the Vale or Oxford.</w:t>
            </w:r>
          </w:p>
          <w:p w14:paraId="018A8113" w14:textId="7FCA820D" w:rsidR="001248E5" w:rsidRPr="001248E5" w:rsidRDefault="001248E5" w:rsidP="001248E5">
            <w:pPr>
              <w:ind w:left="0" w:firstLine="0"/>
              <w:jc w:val="left"/>
              <w:rPr>
                <w:rFonts w:ascii="Times New Roman" w:hAnsi="Times New Roman"/>
                <w:sz w:val="24"/>
                <w:szCs w:val="24"/>
              </w:rPr>
            </w:pPr>
            <w:r w:rsidRPr="001248E5">
              <w:rPr>
                <w:rFonts w:ascii="Times New Roman" w:hAnsi="Times New Roman"/>
                <w:sz w:val="24"/>
                <w:szCs w:val="24"/>
              </w:rPr>
              <w:t xml:space="preserve"> </w:t>
            </w:r>
          </w:p>
          <w:p w14:paraId="09251280" w14:textId="06C47DD6" w:rsidR="001248E5" w:rsidRDefault="001248E5" w:rsidP="001248E5">
            <w:pPr>
              <w:ind w:left="0" w:firstLine="0"/>
              <w:jc w:val="left"/>
              <w:rPr>
                <w:rFonts w:ascii="Times New Roman" w:hAnsi="Times New Roman"/>
                <w:sz w:val="24"/>
                <w:szCs w:val="24"/>
              </w:rPr>
            </w:pPr>
            <w:r w:rsidRPr="001248E5">
              <w:rPr>
                <w:rFonts w:ascii="Times New Roman" w:hAnsi="Times New Roman"/>
                <w:sz w:val="24"/>
                <w:szCs w:val="24"/>
              </w:rPr>
              <w:t>We note here a concern that more and more housing in the Vale is likely to be taken by those commuting outside the District or for investment purposes only, thus making it more and more difficult to meet local needs and sustain a vibrant community. We draw your attention to such reports as made front page news in The Times newspaper on Friday 7 April, titled ‘Foreigners dominate market for new</w:t>
            </w:r>
            <w:r w:rsidRPr="001248E5">
              <w:rPr>
                <w:rFonts w:ascii="Arial" w:hAnsi="Arial" w:cs="Arial"/>
                <w:color w:val="000000"/>
              </w:rPr>
              <w:t xml:space="preserve"> </w:t>
            </w:r>
            <w:r w:rsidRPr="001248E5">
              <w:rPr>
                <w:rFonts w:ascii="Times New Roman" w:hAnsi="Times New Roman"/>
                <w:sz w:val="24"/>
                <w:szCs w:val="24"/>
              </w:rPr>
              <w:t xml:space="preserve">homes’, by Andrew Ellson, where it was stated that ‘93% of flats in one of Manchester’s biggest housing developments had been bought by foreign residents or companies registered overseas’. The Vale has been, and we hope will continue to be, a particularly attractive place to live and work and its communities deserve to be protected by the Local Plan 2031. </w:t>
            </w:r>
          </w:p>
          <w:p w14:paraId="3B1C3A82" w14:textId="77777777" w:rsidR="001248E5" w:rsidRPr="001248E5" w:rsidRDefault="001248E5" w:rsidP="001248E5">
            <w:pPr>
              <w:ind w:left="0" w:firstLine="0"/>
              <w:jc w:val="left"/>
              <w:rPr>
                <w:rFonts w:ascii="Times New Roman" w:hAnsi="Times New Roman"/>
                <w:sz w:val="24"/>
                <w:szCs w:val="24"/>
              </w:rPr>
            </w:pPr>
          </w:p>
          <w:p w14:paraId="6178DC3A" w14:textId="77777777" w:rsidR="004E5AC0" w:rsidRDefault="004E5AC0" w:rsidP="001248E5">
            <w:pPr>
              <w:ind w:left="0" w:firstLine="0"/>
              <w:jc w:val="left"/>
              <w:rPr>
                <w:rFonts w:ascii="Times New Roman" w:hAnsi="Times New Roman"/>
                <w:bCs/>
                <w:sz w:val="24"/>
                <w:szCs w:val="24"/>
                <w:u w:val="single"/>
              </w:rPr>
            </w:pPr>
          </w:p>
          <w:p w14:paraId="6E437C3C" w14:textId="4BF6BB81" w:rsidR="001248E5" w:rsidRPr="001248E5" w:rsidRDefault="001248E5" w:rsidP="001248E5">
            <w:pPr>
              <w:ind w:left="0" w:firstLine="0"/>
              <w:jc w:val="left"/>
              <w:rPr>
                <w:rFonts w:ascii="Times New Roman" w:hAnsi="Times New Roman"/>
                <w:sz w:val="24"/>
                <w:szCs w:val="24"/>
                <w:u w:val="single"/>
              </w:rPr>
            </w:pPr>
            <w:r w:rsidRPr="001248E5">
              <w:rPr>
                <w:rFonts w:ascii="Times New Roman" w:hAnsi="Times New Roman"/>
                <w:bCs/>
                <w:sz w:val="24"/>
                <w:szCs w:val="24"/>
                <w:u w:val="single"/>
              </w:rPr>
              <w:t xml:space="preserve">Absence of effective monitoring coupled with prescribed and timely actions in case of failure to meet expectations </w:t>
            </w:r>
          </w:p>
          <w:p w14:paraId="2E01EB6E" w14:textId="77777777" w:rsidR="001248E5" w:rsidRPr="001248E5" w:rsidRDefault="001248E5" w:rsidP="001248E5">
            <w:pPr>
              <w:ind w:left="0" w:firstLine="0"/>
              <w:jc w:val="left"/>
              <w:rPr>
                <w:rFonts w:ascii="Times New Roman" w:hAnsi="Times New Roman"/>
                <w:sz w:val="24"/>
                <w:szCs w:val="24"/>
              </w:rPr>
            </w:pPr>
          </w:p>
          <w:p w14:paraId="7C69C04E" w14:textId="6C7F8EFA" w:rsidR="00285262" w:rsidRPr="001248E5" w:rsidRDefault="001248E5" w:rsidP="001248E5">
            <w:pPr>
              <w:ind w:left="0" w:firstLine="0"/>
              <w:jc w:val="left"/>
              <w:rPr>
                <w:rFonts w:ascii="Times New Roman" w:hAnsi="Times New Roman"/>
                <w:sz w:val="24"/>
                <w:szCs w:val="24"/>
                <w:lang w:val="en-US"/>
              </w:rPr>
            </w:pPr>
            <w:r w:rsidRPr="001248E5">
              <w:rPr>
                <w:rFonts w:ascii="Times New Roman" w:hAnsi="Times New Roman"/>
                <w:sz w:val="24"/>
                <w:szCs w:val="24"/>
              </w:rPr>
              <w:t xml:space="preserve">Associated with our concern about the absence of any phasing of the proposed development programme is our belief that there needs to be a mechanism for calling a halt to premature development if the expectation of job growth far in excess of historical trends is not fulfilled. The consequence, as noted above, could be an undesirable growth in commuting outside the area, ghost estates with severe under-occupancy, or half-completed eyesores. </w:t>
            </w:r>
          </w:p>
          <w:p w14:paraId="2FAF2EC1" w14:textId="77777777" w:rsidR="001248E5" w:rsidRDefault="001248E5" w:rsidP="00285262">
            <w:pPr>
              <w:ind w:left="0" w:firstLine="0"/>
              <w:jc w:val="left"/>
              <w:rPr>
                <w:rFonts w:ascii="Times New Roman" w:hAnsi="Times New Roman"/>
                <w:sz w:val="24"/>
                <w:szCs w:val="24"/>
                <w:u w:val="single"/>
                <w:lang w:val="en-US"/>
              </w:rPr>
            </w:pPr>
          </w:p>
          <w:p w14:paraId="20F00336" w14:textId="541E9C3E" w:rsidR="005633BC" w:rsidRDefault="005633BC" w:rsidP="00285262">
            <w:pPr>
              <w:ind w:left="0" w:firstLine="0"/>
              <w:jc w:val="left"/>
              <w:rPr>
                <w:rFonts w:ascii="Times New Roman" w:hAnsi="Times New Roman"/>
                <w:sz w:val="24"/>
                <w:szCs w:val="24"/>
                <w:u w:val="single"/>
                <w:lang w:val="en-US"/>
              </w:rPr>
            </w:pPr>
            <w:r>
              <w:rPr>
                <w:rFonts w:ascii="Times New Roman" w:hAnsi="Times New Roman"/>
                <w:sz w:val="24"/>
                <w:szCs w:val="24"/>
                <w:u w:val="single"/>
                <w:lang w:val="en-US"/>
              </w:rPr>
              <w:t>Sustainability Appraisal</w:t>
            </w:r>
          </w:p>
          <w:p w14:paraId="32B7E6D1" w14:textId="77777777" w:rsidR="005633BC" w:rsidRDefault="005633BC" w:rsidP="00285262">
            <w:pPr>
              <w:ind w:left="0" w:firstLine="0"/>
              <w:jc w:val="left"/>
              <w:rPr>
                <w:rFonts w:ascii="Times New Roman" w:hAnsi="Times New Roman"/>
                <w:sz w:val="24"/>
                <w:szCs w:val="24"/>
                <w:u w:val="single"/>
                <w:lang w:val="en-US"/>
              </w:rPr>
            </w:pPr>
          </w:p>
          <w:p w14:paraId="2C0B027C" w14:textId="32E89D8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The </w:t>
            </w:r>
            <w:r w:rsidRPr="005633BC">
              <w:rPr>
                <w:rFonts w:ascii="Times New Roman" w:hAnsi="Times New Roman"/>
                <w:b/>
                <w:sz w:val="24"/>
                <w:szCs w:val="24"/>
              </w:rPr>
              <w:t>Sustainability Appraisal</w:t>
            </w:r>
            <w:r w:rsidRPr="005633BC">
              <w:rPr>
                <w:rFonts w:ascii="Times New Roman" w:hAnsi="Times New Roman"/>
                <w:sz w:val="24"/>
                <w:szCs w:val="24"/>
              </w:rPr>
              <w:t xml:space="preserve"> does not comply with the SEA Regulations in that it does</w:t>
            </w:r>
            <w:r>
              <w:rPr>
                <w:rFonts w:ascii="Times New Roman" w:hAnsi="Times New Roman"/>
                <w:sz w:val="24"/>
                <w:szCs w:val="24"/>
              </w:rPr>
              <w:t xml:space="preserve"> NOT predict the actual likely e</w:t>
            </w:r>
            <w:r w:rsidRPr="005633BC">
              <w:rPr>
                <w:rFonts w:ascii="Times New Roman" w:hAnsi="Times New Roman"/>
                <w:sz w:val="24"/>
                <w:szCs w:val="24"/>
              </w:rPr>
              <w:t xml:space="preserve">ffects on the environment as required under Regulation 12(3) and Schedule 2, especially in respect of:   </w:t>
            </w:r>
          </w:p>
          <w:p w14:paraId="3D6B1149"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 xml:space="preserve">landscape quality or character; </w:t>
            </w:r>
          </w:p>
          <w:p w14:paraId="4F82E6E0"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 xml:space="preserve">dark skies and light pollution; </w:t>
            </w:r>
          </w:p>
          <w:p w14:paraId="6BDFF28B" w14:textId="4F1F4A0D"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loss of tranquil</w:t>
            </w:r>
            <w:r>
              <w:rPr>
                <w:rFonts w:ascii="Times New Roman" w:hAnsi="Times New Roman"/>
                <w:sz w:val="24"/>
                <w:szCs w:val="24"/>
              </w:rPr>
              <w:t>l</w:t>
            </w:r>
            <w:bookmarkStart w:id="0" w:name="_GoBack"/>
            <w:bookmarkEnd w:id="0"/>
            <w:r w:rsidRPr="005633BC">
              <w:rPr>
                <w:rFonts w:ascii="Times New Roman" w:hAnsi="Times New Roman"/>
                <w:sz w:val="24"/>
                <w:szCs w:val="24"/>
              </w:rPr>
              <w:t>ity</w:t>
            </w:r>
          </w:p>
          <w:p w14:paraId="0968B02A"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loss of species and habitats (or habitat creation);</w:t>
            </w:r>
          </w:p>
          <w:p w14:paraId="103B03DE"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 xml:space="preserve">historic landscape and character; </w:t>
            </w:r>
          </w:p>
          <w:p w14:paraId="43100F80"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loss of or harm to heritage assets and their settings;</w:t>
            </w:r>
          </w:p>
          <w:p w14:paraId="5A2F6FA6" w14:textId="77777777" w:rsidR="005633BC" w:rsidRPr="005633BC" w:rsidRDefault="005633BC" w:rsidP="005633BC">
            <w:pPr>
              <w:numPr>
                <w:ilvl w:val="0"/>
                <w:numId w:val="14"/>
              </w:numPr>
              <w:jc w:val="left"/>
              <w:rPr>
                <w:rFonts w:ascii="Times New Roman" w:hAnsi="Times New Roman"/>
                <w:sz w:val="24"/>
                <w:szCs w:val="24"/>
              </w:rPr>
            </w:pPr>
            <w:r w:rsidRPr="005633BC">
              <w:rPr>
                <w:rFonts w:ascii="Times New Roman" w:hAnsi="Times New Roman"/>
                <w:sz w:val="24"/>
                <w:szCs w:val="24"/>
              </w:rPr>
              <w:t>loss of archaeological sites and the implications for local resources to access and curate resultant materials.</w:t>
            </w:r>
          </w:p>
          <w:p w14:paraId="68DB1E73"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Nor does it set out the practical measures required to “</w:t>
            </w:r>
            <w:r w:rsidRPr="005633BC">
              <w:rPr>
                <w:rFonts w:ascii="Times New Roman" w:hAnsi="Times New Roman"/>
                <w:i/>
                <w:sz w:val="24"/>
                <w:szCs w:val="24"/>
              </w:rPr>
              <w:t xml:space="preserve">prevent, reduce and as fully as possible offset” </w:t>
            </w:r>
            <w:r w:rsidRPr="005633BC">
              <w:rPr>
                <w:rFonts w:ascii="Times New Roman" w:hAnsi="Times New Roman"/>
                <w:sz w:val="24"/>
                <w:szCs w:val="24"/>
              </w:rPr>
              <w:t xml:space="preserve">the actual on-the-ground effects of development on such environmental assets and characteristics.  </w:t>
            </w:r>
          </w:p>
          <w:p w14:paraId="392C183D" w14:textId="77777777" w:rsidR="005633BC" w:rsidRPr="005633BC" w:rsidRDefault="005633BC" w:rsidP="005633BC">
            <w:pPr>
              <w:ind w:left="0" w:firstLine="0"/>
              <w:jc w:val="left"/>
              <w:rPr>
                <w:rFonts w:ascii="Times New Roman" w:hAnsi="Times New Roman"/>
                <w:sz w:val="24"/>
                <w:szCs w:val="24"/>
              </w:rPr>
            </w:pPr>
          </w:p>
          <w:p w14:paraId="6BAABCAA"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All these factors that contribute to peoples’ quality of life are both predictable and capable of being monitored to a reasonably good degree.  There are also means by which harm could be (in the words of the SEA regulations) remedied reduced or offset where unforeseen effects arise.  </w:t>
            </w:r>
          </w:p>
          <w:p w14:paraId="1014C42A" w14:textId="77777777" w:rsidR="005633BC" w:rsidRDefault="005633BC" w:rsidP="005633BC">
            <w:pPr>
              <w:ind w:left="0" w:firstLine="0"/>
              <w:jc w:val="left"/>
              <w:rPr>
                <w:rFonts w:ascii="Times New Roman" w:hAnsi="Times New Roman"/>
                <w:sz w:val="24"/>
                <w:szCs w:val="24"/>
              </w:rPr>
            </w:pPr>
          </w:p>
          <w:p w14:paraId="355CD8D5" w14:textId="35008C8A" w:rsidR="005633BC" w:rsidRPr="005633BC" w:rsidRDefault="005633BC" w:rsidP="005633BC">
            <w:pPr>
              <w:ind w:left="0" w:firstLine="0"/>
              <w:jc w:val="left"/>
              <w:rPr>
                <w:rFonts w:ascii="Times New Roman" w:hAnsi="Times New Roman"/>
                <w:sz w:val="24"/>
                <w:szCs w:val="24"/>
                <w:u w:val="single"/>
              </w:rPr>
            </w:pPr>
            <w:r w:rsidRPr="005633BC">
              <w:rPr>
                <w:rFonts w:ascii="Times New Roman" w:hAnsi="Times New Roman"/>
                <w:sz w:val="24"/>
                <w:szCs w:val="24"/>
                <w:u w:val="single"/>
              </w:rPr>
              <w:t>Paragraphs 4.1 to 4.7, Policy 47a &amp; Appendix N</w:t>
            </w:r>
          </w:p>
          <w:p w14:paraId="45F722D8" w14:textId="77777777" w:rsidR="005633BC" w:rsidRPr="005633BC" w:rsidRDefault="005633BC" w:rsidP="005633BC">
            <w:pPr>
              <w:ind w:left="0" w:firstLine="0"/>
              <w:jc w:val="left"/>
              <w:rPr>
                <w:rFonts w:ascii="Times New Roman" w:hAnsi="Times New Roman"/>
                <w:sz w:val="24"/>
                <w:szCs w:val="24"/>
              </w:rPr>
            </w:pPr>
          </w:p>
          <w:p w14:paraId="07B64339" w14:textId="7AC45946"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b/>
                <w:sz w:val="24"/>
                <w:szCs w:val="24"/>
              </w:rPr>
              <w:t>Paragraphs 4.1 to 4.7</w:t>
            </w:r>
            <w:r w:rsidRPr="005633BC">
              <w:rPr>
                <w:rFonts w:ascii="Times New Roman" w:hAnsi="Times New Roman"/>
                <w:sz w:val="24"/>
                <w:szCs w:val="24"/>
              </w:rPr>
              <w:t xml:space="preserve"> of the Part 2 Plan make no reference to monitoring the actual envi</w:t>
            </w:r>
            <w:r>
              <w:rPr>
                <w:rFonts w:ascii="Times New Roman" w:hAnsi="Times New Roman"/>
                <w:sz w:val="24"/>
                <w:szCs w:val="24"/>
              </w:rPr>
              <w:t xml:space="preserve">ronmental effects of the Plan; </w:t>
            </w:r>
            <w:r w:rsidRPr="005633BC">
              <w:rPr>
                <w:rFonts w:ascii="Times New Roman" w:hAnsi="Times New Roman"/>
                <w:sz w:val="24"/>
                <w:szCs w:val="24"/>
              </w:rPr>
              <w:t xml:space="preserve">nor does </w:t>
            </w:r>
            <w:r w:rsidRPr="005633BC">
              <w:rPr>
                <w:rFonts w:ascii="Times New Roman" w:hAnsi="Times New Roman"/>
                <w:b/>
                <w:sz w:val="24"/>
                <w:szCs w:val="24"/>
              </w:rPr>
              <w:t>Policy 47a</w:t>
            </w:r>
            <w:r w:rsidRPr="005633BC">
              <w:rPr>
                <w:rFonts w:ascii="Times New Roman" w:hAnsi="Times New Roman"/>
                <w:sz w:val="24"/>
                <w:szCs w:val="24"/>
              </w:rPr>
              <w:t xml:space="preserve">.  These ONLY explicitly concern delivery of development, NOT environmental protection.  This is exacerbated by </w:t>
            </w:r>
            <w:r w:rsidRPr="005633BC">
              <w:rPr>
                <w:rFonts w:ascii="Times New Roman" w:hAnsi="Times New Roman"/>
                <w:b/>
                <w:sz w:val="24"/>
                <w:szCs w:val="24"/>
              </w:rPr>
              <w:t>Appendix N</w:t>
            </w:r>
            <w:r w:rsidRPr="005633BC">
              <w:rPr>
                <w:rFonts w:ascii="Times New Roman" w:hAnsi="Times New Roman"/>
                <w:sz w:val="24"/>
                <w:szCs w:val="24"/>
              </w:rPr>
              <w:t>, where the monitoring measures for the Development Management Policies also make next to no reference to actual changes to the environment, only decision-making procedures, with no provision to remedy</w:t>
            </w:r>
            <w:r>
              <w:rPr>
                <w:rFonts w:ascii="Times New Roman" w:hAnsi="Times New Roman"/>
                <w:sz w:val="24"/>
                <w:szCs w:val="24"/>
              </w:rPr>
              <w:t>,</w:t>
            </w:r>
            <w:r w:rsidRPr="005633BC">
              <w:rPr>
                <w:rFonts w:ascii="Times New Roman" w:hAnsi="Times New Roman"/>
                <w:sz w:val="24"/>
                <w:szCs w:val="24"/>
              </w:rPr>
              <w:t xml:space="preserve"> reduce or offset unforeseen impacts on the ground.</w:t>
            </w:r>
          </w:p>
          <w:p w14:paraId="763D8B84" w14:textId="77777777" w:rsidR="005633BC" w:rsidRPr="005633BC" w:rsidRDefault="005633BC" w:rsidP="005633BC">
            <w:pPr>
              <w:ind w:left="0" w:firstLine="0"/>
              <w:jc w:val="left"/>
              <w:rPr>
                <w:rFonts w:ascii="Times New Roman" w:hAnsi="Times New Roman"/>
                <w:sz w:val="24"/>
                <w:szCs w:val="24"/>
              </w:rPr>
            </w:pPr>
          </w:p>
          <w:p w14:paraId="321E2E6E"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As such the Plan is not compliant with Regulation 17(1) of the SEA Regulations (SI 2004 No. 1633) which requires that:   </w:t>
            </w:r>
          </w:p>
          <w:p w14:paraId="4AE805F5" w14:textId="77777777" w:rsidR="005633BC" w:rsidRPr="005633BC" w:rsidRDefault="005633BC" w:rsidP="005633BC">
            <w:pPr>
              <w:ind w:left="0" w:firstLine="0"/>
              <w:jc w:val="left"/>
              <w:rPr>
                <w:rFonts w:ascii="Times New Roman" w:hAnsi="Times New Roman"/>
                <w:i/>
                <w:sz w:val="24"/>
                <w:szCs w:val="24"/>
              </w:rPr>
            </w:pPr>
            <w:r w:rsidRPr="005633BC">
              <w:rPr>
                <w:rFonts w:ascii="Times New Roman" w:hAnsi="Times New Roman"/>
                <w:i/>
                <w:sz w:val="24"/>
                <w:szCs w:val="24"/>
              </w:rPr>
              <w:t>The responsible authority shall monitor the significant environmental effects of the implementation of each plan or programme with the purpose of identifying unforeseen adverse effects at an early stage and being able to undertake appropriate remedial action.</w:t>
            </w:r>
          </w:p>
          <w:p w14:paraId="4239533B" w14:textId="77777777" w:rsidR="005633BC" w:rsidRPr="005633BC" w:rsidRDefault="005633BC" w:rsidP="005633BC">
            <w:pPr>
              <w:ind w:left="0" w:firstLine="0"/>
              <w:jc w:val="left"/>
              <w:rPr>
                <w:rFonts w:ascii="Times New Roman" w:hAnsi="Times New Roman"/>
                <w:sz w:val="24"/>
                <w:szCs w:val="24"/>
              </w:rPr>
            </w:pPr>
          </w:p>
          <w:p w14:paraId="2C3AE65C" w14:textId="29960180"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While the monitoring measures proposed below may seem extensive, at present Appendix N is notable for the extreme sparseness of environmental monitoring measures as well as their ineffectualness in te</w:t>
            </w:r>
            <w:r>
              <w:rPr>
                <w:rFonts w:ascii="Times New Roman" w:hAnsi="Times New Roman"/>
                <w:sz w:val="24"/>
                <w:szCs w:val="24"/>
              </w:rPr>
              <w:t>rms of real change rather tha</w:t>
            </w:r>
            <w:r w:rsidRPr="005633BC">
              <w:rPr>
                <w:rFonts w:ascii="Times New Roman" w:hAnsi="Times New Roman"/>
                <w:sz w:val="24"/>
                <w:szCs w:val="24"/>
              </w:rPr>
              <w:t xml:space="preserve">n just procedural activity (which has more to do with the council’s performance against legal requirements then anything in the real environment.  All the measures proposed are either very readily implemented by officers keeping simple checklists in the course of casework, or can be based on data assembled via </w:t>
            </w:r>
            <w:r w:rsidRPr="005633BC">
              <w:rPr>
                <w:rFonts w:ascii="Times New Roman" w:hAnsi="Times New Roman"/>
                <w:sz w:val="24"/>
                <w:szCs w:val="24"/>
              </w:rPr>
              <w:lastRenderedPageBreak/>
              <w:t>third parties, including community groups whose engagement in monitoring their environment would be socially beneficial.</w:t>
            </w:r>
          </w:p>
          <w:p w14:paraId="5490DB90" w14:textId="77777777" w:rsidR="005633BC" w:rsidRPr="005633BC" w:rsidRDefault="005633BC" w:rsidP="00285262">
            <w:pPr>
              <w:ind w:left="0" w:firstLine="0"/>
              <w:jc w:val="left"/>
              <w:rPr>
                <w:rFonts w:ascii="Times New Roman" w:hAnsi="Times New Roman"/>
                <w:sz w:val="24"/>
                <w:szCs w:val="24"/>
                <w:lang w:val="en-US"/>
              </w:rPr>
            </w:pPr>
          </w:p>
          <w:p w14:paraId="54441162" w14:textId="77777777" w:rsidR="005633BC" w:rsidRDefault="005633BC" w:rsidP="00285262">
            <w:pPr>
              <w:ind w:left="0" w:firstLine="0"/>
              <w:jc w:val="left"/>
              <w:rPr>
                <w:rFonts w:ascii="Times New Roman" w:hAnsi="Times New Roman"/>
                <w:sz w:val="24"/>
                <w:szCs w:val="24"/>
                <w:u w:val="single"/>
                <w:lang w:val="en-US"/>
              </w:rPr>
            </w:pPr>
          </w:p>
          <w:p w14:paraId="6EA173C8" w14:textId="77777777" w:rsidR="001248E5" w:rsidRDefault="001248E5" w:rsidP="00285262">
            <w:pPr>
              <w:ind w:left="0" w:firstLine="0"/>
              <w:jc w:val="left"/>
              <w:rPr>
                <w:rFonts w:ascii="Times New Roman" w:hAnsi="Times New Roman"/>
                <w:sz w:val="24"/>
                <w:szCs w:val="24"/>
                <w:u w:val="single"/>
                <w:lang w:val="en-US"/>
              </w:rPr>
            </w:pPr>
          </w:p>
          <w:p w14:paraId="42E3BF69" w14:textId="77777777" w:rsidR="001248E5" w:rsidRDefault="001248E5" w:rsidP="00285262">
            <w:pPr>
              <w:ind w:left="0" w:firstLine="0"/>
              <w:jc w:val="left"/>
              <w:rPr>
                <w:rFonts w:ascii="Times New Roman" w:hAnsi="Times New Roman"/>
                <w:sz w:val="24"/>
                <w:szCs w:val="24"/>
                <w:u w:val="single"/>
                <w:lang w:val="en-US"/>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400B0192"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44641524" w14:textId="680EE651" w:rsidR="00EE1E98" w:rsidRPr="00E2703F" w:rsidRDefault="004E5AC0" w:rsidP="004D186E">
            <w:pPr>
              <w:ind w:left="0" w:firstLine="0"/>
              <w:jc w:val="left"/>
              <w:rPr>
                <w:rFonts w:ascii="Times New Roman" w:hAnsi="Times New Roman"/>
                <w:sz w:val="24"/>
                <w:szCs w:val="24"/>
              </w:rPr>
            </w:pPr>
            <w:r w:rsidRPr="001248E5">
              <w:rPr>
                <w:rFonts w:ascii="Times New Roman" w:hAnsi="Times New Roman"/>
                <w:sz w:val="24"/>
                <w:szCs w:val="24"/>
              </w:rPr>
              <w:t xml:space="preserve">We believe it is an urgent priority to establish the principle </w:t>
            </w:r>
            <w:r>
              <w:rPr>
                <w:rFonts w:ascii="Times New Roman" w:hAnsi="Times New Roman"/>
                <w:sz w:val="24"/>
                <w:szCs w:val="24"/>
              </w:rPr>
              <w:t>of</w:t>
            </w:r>
            <w:r w:rsidRPr="001248E5">
              <w:rPr>
                <w:rFonts w:ascii="Times New Roman" w:hAnsi="Times New Roman"/>
                <w:sz w:val="24"/>
                <w:szCs w:val="24"/>
              </w:rPr>
              <w:t xml:space="preserve"> FREQUENT formal audit of job growth against housing starts, with an ability to call a SWIFT halt to approvals if job growth falls short of expectation. (Note that this reinforces the need for a recognised phasing of developments within whatever allocations are finally adopted.)</w:t>
            </w: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5633BC" w:rsidP="004D186E">
            <w:pPr>
              <w:ind w:left="0" w:firstLine="0"/>
              <w:jc w:val="left"/>
              <w:rPr>
                <w:rFonts w:ascii="Times New Roman" w:hAnsi="Times New Roman"/>
                <w:sz w:val="24"/>
                <w:szCs w:val="24"/>
              </w:rPr>
            </w:pPr>
            <w:r>
              <w:rPr>
                <w:rFonts w:ascii="Times New Roman" w:hAnsi="Times New Roman"/>
                <w:sz w:val="24"/>
                <w:szCs w:val="24"/>
              </w:rPr>
              <w:t>In addition, we propose the following specific text changes:</w:t>
            </w:r>
          </w:p>
          <w:p w14:paraId="31E23BDD" w14:textId="77777777" w:rsidR="005633BC" w:rsidRDefault="005633BC" w:rsidP="005633BC">
            <w:pPr>
              <w:ind w:left="0" w:firstLine="0"/>
              <w:jc w:val="left"/>
              <w:rPr>
                <w:rFonts w:ascii="Times New Roman" w:hAnsi="Times New Roman"/>
                <w:b/>
                <w:sz w:val="24"/>
                <w:szCs w:val="24"/>
              </w:rPr>
            </w:pPr>
          </w:p>
          <w:p w14:paraId="7BF2416D" w14:textId="5666694B" w:rsidR="005633BC" w:rsidRPr="005633BC" w:rsidRDefault="005633BC" w:rsidP="005633BC">
            <w:pPr>
              <w:ind w:left="0" w:firstLine="0"/>
              <w:jc w:val="left"/>
              <w:rPr>
                <w:rFonts w:ascii="Times New Roman" w:hAnsi="Times New Roman"/>
                <w:b/>
                <w:sz w:val="24"/>
                <w:szCs w:val="24"/>
              </w:rPr>
            </w:pPr>
            <w:r w:rsidRPr="005633BC">
              <w:rPr>
                <w:rFonts w:ascii="Times New Roman" w:hAnsi="Times New Roman"/>
                <w:b/>
                <w:sz w:val="24"/>
                <w:szCs w:val="24"/>
              </w:rPr>
              <w:t xml:space="preserve">Text paragraphs 4.1- 4.7:  </w:t>
            </w:r>
          </w:p>
          <w:p w14:paraId="7B809EBF"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4.3. We will continue to work jointly with stakeholders to deliver Local Plan 2031 objectives. This will include partnership working with both public agencies and the private sector and is necessary to ensure development progresses </w:t>
            </w:r>
            <w:r w:rsidRPr="005633BC">
              <w:rPr>
                <w:rFonts w:ascii="Times New Roman" w:hAnsi="Times New Roman"/>
                <w:sz w:val="24"/>
                <w:szCs w:val="24"/>
                <w:u w:val="single"/>
              </w:rPr>
              <w:t xml:space="preserve">and environmental protection and social benefits are delivered </w:t>
            </w:r>
            <w:r w:rsidRPr="005633BC">
              <w:rPr>
                <w:rFonts w:ascii="Times New Roman" w:hAnsi="Times New Roman"/>
                <w:sz w:val="24"/>
                <w:szCs w:val="24"/>
              </w:rPr>
              <w:t xml:space="preserve">in a manner consistent with the strategy identified in this plan </w:t>
            </w:r>
            <w:r w:rsidRPr="005633BC">
              <w:rPr>
                <w:rFonts w:ascii="Times New Roman" w:hAnsi="Times New Roman"/>
                <w:sz w:val="24"/>
                <w:szCs w:val="24"/>
                <w:u w:val="single"/>
              </w:rPr>
              <w:t xml:space="preserve">and the three core strands of sustainable development. </w:t>
            </w:r>
          </w:p>
          <w:p w14:paraId="1057128E" w14:textId="77777777" w:rsidR="005633BC" w:rsidRPr="005633BC" w:rsidRDefault="005633BC" w:rsidP="005633BC">
            <w:pPr>
              <w:ind w:left="0" w:firstLine="0"/>
              <w:jc w:val="left"/>
              <w:rPr>
                <w:rFonts w:ascii="Times New Roman" w:hAnsi="Times New Roman"/>
                <w:sz w:val="24"/>
                <w:szCs w:val="24"/>
              </w:rPr>
            </w:pPr>
          </w:p>
          <w:p w14:paraId="776F8D27"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4.5. The Council will publish information at least annually to show progress with Local Plan implementation </w:t>
            </w:r>
            <w:r w:rsidRPr="005633BC">
              <w:rPr>
                <w:rFonts w:ascii="Times New Roman" w:hAnsi="Times New Roman"/>
                <w:sz w:val="24"/>
                <w:szCs w:val="24"/>
                <w:u w:val="single"/>
              </w:rPr>
              <w:t>including environmental and social policies</w:t>
            </w:r>
            <w:r w:rsidRPr="005633BC">
              <w:rPr>
                <w:rFonts w:ascii="Times New Roman" w:hAnsi="Times New Roman"/>
                <w:sz w:val="24"/>
                <w:szCs w:val="24"/>
              </w:rPr>
              <w:t xml:space="preserve"> in its Authority Monitoring Report.</w:t>
            </w:r>
          </w:p>
          <w:p w14:paraId="0D86FA85" w14:textId="77777777" w:rsidR="005633BC" w:rsidRPr="005633BC" w:rsidRDefault="005633BC" w:rsidP="005633BC">
            <w:pPr>
              <w:ind w:left="0" w:firstLine="0"/>
              <w:jc w:val="left"/>
              <w:rPr>
                <w:rFonts w:ascii="Times New Roman" w:hAnsi="Times New Roman"/>
                <w:sz w:val="24"/>
                <w:szCs w:val="24"/>
              </w:rPr>
            </w:pPr>
          </w:p>
          <w:p w14:paraId="0E4582A2"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4.6. The Council has included a Monitoring Framework at </w:t>
            </w:r>
            <w:r w:rsidRPr="005633BC">
              <w:rPr>
                <w:rFonts w:ascii="Times New Roman" w:hAnsi="Times New Roman"/>
                <w:b/>
                <w:bCs/>
                <w:sz w:val="24"/>
                <w:szCs w:val="24"/>
              </w:rPr>
              <w:t>Appendix N</w:t>
            </w:r>
            <w:r w:rsidRPr="005633BC">
              <w:rPr>
                <w:rFonts w:ascii="Times New Roman" w:hAnsi="Times New Roman"/>
                <w:sz w:val="24"/>
                <w:szCs w:val="24"/>
              </w:rPr>
              <w:t xml:space="preserve">, which identifies how the Council will monitor the effectiveness and implementation of the Local Plan 2031: Part 2 for each policy. The Council recognises that appropriate action will need to be taken if implementation of the plan or its </w:t>
            </w:r>
            <w:r w:rsidRPr="005633BC">
              <w:rPr>
                <w:rFonts w:ascii="Times New Roman" w:hAnsi="Times New Roman"/>
                <w:sz w:val="24"/>
                <w:szCs w:val="24"/>
                <w:u w:val="single"/>
              </w:rPr>
              <w:t>environmental and social policies</w:t>
            </w:r>
            <w:r w:rsidRPr="005633BC">
              <w:rPr>
                <w:rFonts w:ascii="Times New Roman" w:hAnsi="Times New Roman"/>
                <w:sz w:val="24"/>
                <w:szCs w:val="24"/>
              </w:rPr>
              <w:t xml:space="preserve"> is clearly off track.</w:t>
            </w:r>
          </w:p>
          <w:p w14:paraId="1BB12AD0" w14:textId="77777777" w:rsidR="005633BC" w:rsidRPr="005633BC" w:rsidRDefault="005633BC" w:rsidP="005633BC">
            <w:pPr>
              <w:ind w:left="0" w:firstLine="0"/>
              <w:jc w:val="left"/>
              <w:rPr>
                <w:rFonts w:ascii="Times New Roman" w:hAnsi="Times New Roman"/>
                <w:sz w:val="24"/>
                <w:szCs w:val="24"/>
              </w:rPr>
            </w:pPr>
          </w:p>
          <w:p w14:paraId="76C43C9C"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b/>
                <w:bCs/>
                <w:sz w:val="24"/>
                <w:szCs w:val="24"/>
              </w:rPr>
              <w:t>Core Policy 47a: Delivery and Contingency</w:t>
            </w:r>
          </w:p>
          <w:p w14:paraId="61561EB6"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Core Policy 47a will work in tandem with Core Policy 47 to ensure effective monitoring of both Local Plan 2031: Part 1 and Local Plan 2031: Part 2.  </w:t>
            </w:r>
          </w:p>
          <w:p w14:paraId="3FE5177D"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If the Local Plan 2031: Part 2 policies are not delivered in accordance with the Monitoring Framework set out in </w:t>
            </w:r>
            <w:r w:rsidRPr="005633BC">
              <w:rPr>
                <w:rFonts w:ascii="Times New Roman" w:hAnsi="Times New Roman"/>
                <w:b/>
                <w:bCs/>
                <w:sz w:val="24"/>
                <w:szCs w:val="24"/>
              </w:rPr>
              <w:t xml:space="preserve">Appendix N </w:t>
            </w:r>
            <w:r w:rsidRPr="005633BC">
              <w:rPr>
                <w:rFonts w:ascii="Times New Roman" w:hAnsi="Times New Roman"/>
                <w:sz w:val="24"/>
                <w:szCs w:val="24"/>
              </w:rPr>
              <w:t>the contingency measures identified in the Monitoring Framework will apply.</w:t>
            </w:r>
          </w:p>
          <w:p w14:paraId="52C2FB6A"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As with Local Plan 2031: Part 1, if the development of the additional sites and Sub Area Strategies identified in Local Plan 2031: Part 2 is not taking place as envisaged, the Council, in conjunction with its partners, will investigate the reasons for the situation and will implement appropriate action which may include one or more of the following:</w:t>
            </w:r>
          </w:p>
          <w:p w14:paraId="1D33E5A8"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i. seeking alternative sources of funding if a lack of infrastructure is delaying development or causing significant problems as a result of new development;</w:t>
            </w:r>
          </w:p>
          <w:p w14:paraId="6AFE10D5"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ii. seeking to accelerate delivery on other permitted or allocated sites </w:t>
            </w:r>
          </w:p>
          <w:p w14:paraId="2FD89B10"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iii. identifying alternative deliverable sites that are in general accordance with the spatial strategy of the Part 1 Plan, through the appropriate mechanisms; and if required</w:t>
            </w:r>
          </w:p>
          <w:p w14:paraId="23C18D01"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lastRenderedPageBreak/>
              <w:t>iv. undertaking a partial or full review of the Local Plan 2031, if investigation indicates that its strategy, either in whole or in part, is no longer appropriate</w:t>
            </w:r>
          </w:p>
          <w:p w14:paraId="534B312F" w14:textId="77777777" w:rsidR="005633BC" w:rsidRPr="005633BC" w:rsidRDefault="005633BC" w:rsidP="005633BC">
            <w:pPr>
              <w:ind w:left="0" w:firstLine="0"/>
              <w:jc w:val="left"/>
              <w:rPr>
                <w:rFonts w:ascii="Times New Roman" w:hAnsi="Times New Roman"/>
                <w:sz w:val="24"/>
                <w:szCs w:val="24"/>
                <w:u w:val="single"/>
              </w:rPr>
            </w:pPr>
            <w:r w:rsidRPr="005633BC">
              <w:rPr>
                <w:rFonts w:ascii="Times New Roman" w:hAnsi="Times New Roman"/>
                <w:sz w:val="24"/>
                <w:szCs w:val="24"/>
                <w:u w:val="single"/>
              </w:rPr>
              <w:t xml:space="preserve">v. adopting appropriate preventative or remedial measures or (if irreversible) compensatory if environmental protection is less effective than it should be. </w:t>
            </w:r>
          </w:p>
          <w:p w14:paraId="06AABF67" w14:textId="77777777" w:rsidR="005633BC" w:rsidRPr="005633BC" w:rsidRDefault="005633BC" w:rsidP="005633BC">
            <w:pPr>
              <w:ind w:left="0" w:firstLine="0"/>
              <w:jc w:val="left"/>
              <w:rPr>
                <w:rFonts w:ascii="Times New Roman" w:hAnsi="Times New Roman"/>
                <w:sz w:val="24"/>
                <w:szCs w:val="24"/>
                <w:u w:val="single"/>
              </w:rPr>
            </w:pPr>
          </w:p>
          <w:p w14:paraId="5F7D9866" w14:textId="77777777" w:rsidR="005633BC" w:rsidRPr="005633BC" w:rsidRDefault="005633BC" w:rsidP="005633BC">
            <w:pPr>
              <w:ind w:left="0" w:firstLine="0"/>
              <w:jc w:val="left"/>
              <w:rPr>
                <w:rFonts w:ascii="Times New Roman" w:hAnsi="Times New Roman"/>
                <w:b/>
                <w:sz w:val="24"/>
                <w:szCs w:val="24"/>
              </w:rPr>
            </w:pPr>
            <w:r w:rsidRPr="005633BC">
              <w:rPr>
                <w:rFonts w:ascii="Times New Roman" w:hAnsi="Times New Roman"/>
                <w:b/>
                <w:sz w:val="24"/>
                <w:szCs w:val="24"/>
              </w:rPr>
              <w:t xml:space="preserve">Appendix N </w:t>
            </w:r>
          </w:p>
          <w:p w14:paraId="704C73EB" w14:textId="77777777" w:rsidR="005633BC" w:rsidRPr="005633BC" w:rsidRDefault="005633BC" w:rsidP="005633BC">
            <w:pPr>
              <w:ind w:left="0" w:firstLine="0"/>
              <w:jc w:val="left"/>
              <w:rPr>
                <w:rFonts w:ascii="Times New Roman" w:hAnsi="Times New Roman"/>
                <w:sz w:val="24"/>
                <w:szCs w:val="24"/>
              </w:rPr>
            </w:pPr>
            <w:r w:rsidRPr="005633BC">
              <w:rPr>
                <w:rFonts w:ascii="Times New Roman" w:hAnsi="Times New Roman"/>
                <w:sz w:val="24"/>
                <w:szCs w:val="24"/>
              </w:rPr>
              <w:t xml:space="preserve">Insert following environmental monitoring measures </w:t>
            </w:r>
          </w:p>
          <w:p w14:paraId="4007E9AB" w14:textId="77777777" w:rsidR="005633BC" w:rsidRPr="005633BC" w:rsidRDefault="005633BC" w:rsidP="005633BC">
            <w:pPr>
              <w:ind w:left="0" w:firstLine="0"/>
              <w:jc w:val="left"/>
              <w:rPr>
                <w:rFonts w:ascii="Times New Roman" w:hAnsi="Times New Roman"/>
                <w:sz w:val="24"/>
                <w:szCs w:val="24"/>
              </w:rPr>
            </w:pPr>
          </w:p>
          <w:p w14:paraId="0A9C2329" w14:textId="77777777" w:rsidR="005633BC" w:rsidRPr="005633BC" w:rsidRDefault="005633BC" w:rsidP="005633BC">
            <w:pPr>
              <w:ind w:left="0" w:firstLine="0"/>
              <w:jc w:val="left"/>
              <w:rPr>
                <w:rFonts w:ascii="Times New Roman" w:hAnsi="Times New Roman"/>
                <w:sz w:val="24"/>
                <w:szCs w:val="24"/>
                <w:u w:val="single"/>
              </w:rPr>
            </w:pPr>
            <w:r w:rsidRPr="005633BC">
              <w:rPr>
                <w:rFonts w:ascii="Times New Roman" w:hAnsi="Times New Roman"/>
                <w:b/>
                <w:sz w:val="24"/>
                <w:szCs w:val="24"/>
                <w:u w:val="single"/>
              </w:rPr>
              <w:t>Overall environment:</w:t>
            </w:r>
            <w:r w:rsidRPr="005633BC">
              <w:rPr>
                <w:rFonts w:ascii="Times New Roman" w:hAnsi="Times New Roman"/>
                <w:sz w:val="24"/>
                <w:szCs w:val="24"/>
                <w:u w:val="single"/>
              </w:rPr>
              <w:t xml:space="preserve">  number of applications approved contrary to external and/or internal technical advice </w:t>
            </w:r>
          </w:p>
          <w:p w14:paraId="22FD8DCD" w14:textId="77777777" w:rsidR="005633BC" w:rsidRPr="005633BC" w:rsidRDefault="005633BC" w:rsidP="005633BC">
            <w:pPr>
              <w:ind w:left="0" w:firstLine="0"/>
              <w:jc w:val="left"/>
              <w:rPr>
                <w:rFonts w:ascii="Times New Roman" w:hAnsi="Times New Roman"/>
                <w:sz w:val="24"/>
                <w:szCs w:val="24"/>
                <w:u w:val="single"/>
              </w:rPr>
            </w:pPr>
          </w:p>
          <w:p w14:paraId="7435A3E6" w14:textId="77777777" w:rsidR="005633BC" w:rsidRPr="005633BC" w:rsidRDefault="005633BC" w:rsidP="005633BC">
            <w:pPr>
              <w:ind w:left="0" w:firstLine="0"/>
              <w:jc w:val="left"/>
              <w:rPr>
                <w:rFonts w:ascii="Times New Roman" w:hAnsi="Times New Roman"/>
                <w:sz w:val="24"/>
                <w:szCs w:val="24"/>
                <w:u w:val="single"/>
              </w:rPr>
            </w:pPr>
          </w:p>
          <w:p w14:paraId="48DD91C2" w14:textId="77777777" w:rsidR="005633BC" w:rsidRPr="005633BC" w:rsidRDefault="005633BC" w:rsidP="005633BC">
            <w:pPr>
              <w:ind w:left="0" w:firstLine="0"/>
              <w:jc w:val="left"/>
              <w:rPr>
                <w:rFonts w:ascii="Times New Roman" w:hAnsi="Times New Roman"/>
                <w:b/>
                <w:sz w:val="24"/>
                <w:szCs w:val="24"/>
                <w:u w:val="single"/>
              </w:rPr>
            </w:pPr>
            <w:r w:rsidRPr="005633BC">
              <w:rPr>
                <w:rFonts w:ascii="Times New Roman" w:hAnsi="Times New Roman"/>
                <w:b/>
                <w:sz w:val="24"/>
                <w:szCs w:val="24"/>
                <w:u w:val="single"/>
              </w:rPr>
              <w:t>Landscape Green Belt and Dark Skies:</w:t>
            </w:r>
          </w:p>
          <w:p w14:paraId="772DAC32" w14:textId="77777777" w:rsidR="005633BC" w:rsidRPr="005633BC" w:rsidRDefault="005633BC" w:rsidP="005633BC">
            <w:pPr>
              <w:numPr>
                <w:ilvl w:val="0"/>
                <w:numId w:val="14"/>
              </w:numPr>
              <w:jc w:val="left"/>
              <w:rPr>
                <w:rFonts w:ascii="Times New Roman" w:hAnsi="Times New Roman"/>
                <w:i/>
                <w:sz w:val="24"/>
                <w:szCs w:val="24"/>
                <w:u w:val="single"/>
              </w:rPr>
            </w:pPr>
            <w:r w:rsidRPr="005633BC">
              <w:rPr>
                <w:rFonts w:ascii="Times New Roman" w:hAnsi="Times New Roman"/>
                <w:b/>
                <w:i/>
                <w:sz w:val="24"/>
                <w:szCs w:val="24"/>
                <w:u w:val="single"/>
              </w:rPr>
              <w:t xml:space="preserve">AONB: </w:t>
            </w:r>
            <w:r w:rsidRPr="005633BC">
              <w:rPr>
                <w:rFonts w:ascii="Times New Roman" w:hAnsi="Times New Roman"/>
                <w:i/>
                <w:sz w:val="24"/>
                <w:szCs w:val="24"/>
                <w:u w:val="single"/>
              </w:rPr>
              <w:t xml:space="preserve">number of applications passed contrary to advice of N Wessex Downs AONB Partnership;  number of applications affecting NWD AONB that are Schedule 2 development under EIA regulations and number of screening opinions issued;  number of applications classed as ‘major development’ in NWD AONB and proportion approved;  </w:t>
            </w:r>
          </w:p>
          <w:p w14:paraId="2E33E982" w14:textId="77777777" w:rsidR="005633BC" w:rsidRPr="005633BC" w:rsidRDefault="005633BC" w:rsidP="005633BC">
            <w:pPr>
              <w:numPr>
                <w:ilvl w:val="0"/>
                <w:numId w:val="14"/>
              </w:numPr>
              <w:jc w:val="left"/>
              <w:rPr>
                <w:rFonts w:ascii="Times New Roman" w:hAnsi="Times New Roman"/>
                <w:i/>
                <w:sz w:val="24"/>
                <w:szCs w:val="24"/>
                <w:u w:val="single"/>
              </w:rPr>
            </w:pPr>
            <w:r w:rsidRPr="005633BC">
              <w:rPr>
                <w:rFonts w:ascii="Times New Roman" w:hAnsi="Times New Roman"/>
                <w:b/>
                <w:i/>
                <w:sz w:val="24"/>
                <w:szCs w:val="24"/>
                <w:u w:val="single"/>
              </w:rPr>
              <w:t>General Landscape:</w:t>
            </w:r>
            <w:r w:rsidRPr="005633BC">
              <w:rPr>
                <w:rFonts w:ascii="Times New Roman" w:hAnsi="Times New Roman"/>
                <w:i/>
                <w:sz w:val="24"/>
                <w:szCs w:val="24"/>
                <w:u w:val="single"/>
              </w:rPr>
              <w:t xml:space="preserve">  area over which development-based landuse change would lead to alteration of a) landscape character type boundaries and b) historic landscape character types;  extent of change to or loss of pre-19</w:t>
            </w:r>
            <w:r w:rsidRPr="005633BC">
              <w:rPr>
                <w:rFonts w:ascii="Times New Roman" w:hAnsi="Times New Roman"/>
                <w:i/>
                <w:sz w:val="24"/>
                <w:szCs w:val="24"/>
                <w:u w:val="single"/>
                <w:vertAlign w:val="superscript"/>
              </w:rPr>
              <w:t>th</w:t>
            </w:r>
            <w:r w:rsidRPr="005633BC">
              <w:rPr>
                <w:rFonts w:ascii="Times New Roman" w:hAnsi="Times New Roman"/>
                <w:i/>
                <w:sz w:val="24"/>
                <w:szCs w:val="24"/>
                <w:u w:val="single"/>
              </w:rPr>
              <w:t xml:space="preserve"> century HLC types </w:t>
            </w:r>
          </w:p>
          <w:p w14:paraId="1891F6EC" w14:textId="77777777" w:rsidR="005633BC" w:rsidRPr="005633BC" w:rsidRDefault="005633BC" w:rsidP="005633BC">
            <w:pPr>
              <w:numPr>
                <w:ilvl w:val="0"/>
                <w:numId w:val="14"/>
              </w:numPr>
              <w:jc w:val="left"/>
              <w:rPr>
                <w:rFonts w:ascii="Times New Roman" w:hAnsi="Times New Roman"/>
                <w:i/>
                <w:sz w:val="24"/>
                <w:szCs w:val="24"/>
                <w:u w:val="single"/>
              </w:rPr>
            </w:pPr>
            <w:r w:rsidRPr="005633BC">
              <w:rPr>
                <w:rFonts w:ascii="Times New Roman" w:hAnsi="Times New Roman"/>
                <w:b/>
                <w:i/>
                <w:sz w:val="24"/>
                <w:szCs w:val="24"/>
                <w:u w:val="single"/>
              </w:rPr>
              <w:t>Dark Skies:</w:t>
            </w:r>
            <w:r w:rsidRPr="005633BC">
              <w:rPr>
                <w:rFonts w:ascii="Times New Roman" w:hAnsi="Times New Roman"/>
                <w:i/>
                <w:sz w:val="24"/>
                <w:szCs w:val="24"/>
                <w:u w:val="single"/>
              </w:rPr>
              <w:t xml:space="preserve"> number of dark skies designations (discovery sites, areas, communities etc) recognised within or partly within the Council’s area;  changes to CPRE dark skies qualitative mapping; extent of light pollution reduction measures introduced on roads and housing areas; number of dark skies community events;  astronomers’ monitoring of visibility of key star clusters on clear nights </w:t>
            </w:r>
          </w:p>
          <w:p w14:paraId="32BA7548" w14:textId="77777777" w:rsidR="005633BC" w:rsidRPr="005633BC" w:rsidRDefault="005633BC" w:rsidP="005633BC">
            <w:pPr>
              <w:numPr>
                <w:ilvl w:val="0"/>
                <w:numId w:val="14"/>
              </w:numPr>
              <w:jc w:val="left"/>
              <w:rPr>
                <w:rFonts w:ascii="Times New Roman" w:hAnsi="Times New Roman"/>
                <w:i/>
                <w:sz w:val="24"/>
                <w:szCs w:val="24"/>
                <w:u w:val="single"/>
              </w:rPr>
            </w:pPr>
            <w:r w:rsidRPr="005633BC">
              <w:rPr>
                <w:rFonts w:ascii="Times New Roman" w:hAnsi="Times New Roman"/>
                <w:b/>
                <w:i/>
                <w:sz w:val="24"/>
                <w:szCs w:val="24"/>
                <w:u w:val="single"/>
              </w:rPr>
              <w:t>Green Belt:</w:t>
            </w:r>
            <w:r w:rsidRPr="005633BC">
              <w:rPr>
                <w:rFonts w:ascii="Times New Roman" w:hAnsi="Times New Roman"/>
                <w:i/>
                <w:sz w:val="24"/>
                <w:szCs w:val="24"/>
                <w:u w:val="single"/>
              </w:rPr>
              <w:t xml:space="preserve">  number of applications approved that trigger the test of ‘very special circumstances’;  number of cases where the test of ‘very special circumstances’ relates to so-called ‘fall-back’ positions arising from permitted development proposals or potential options    </w:t>
            </w:r>
          </w:p>
          <w:p w14:paraId="363211D1" w14:textId="77777777" w:rsidR="005633BC" w:rsidRPr="005633BC" w:rsidRDefault="005633BC" w:rsidP="005633BC">
            <w:pPr>
              <w:numPr>
                <w:ilvl w:val="0"/>
                <w:numId w:val="14"/>
              </w:numPr>
              <w:jc w:val="left"/>
              <w:rPr>
                <w:rFonts w:ascii="Times New Roman" w:hAnsi="Times New Roman"/>
                <w:b/>
                <w:i/>
                <w:sz w:val="24"/>
                <w:szCs w:val="24"/>
                <w:u w:val="single"/>
              </w:rPr>
            </w:pPr>
          </w:p>
          <w:p w14:paraId="39E23D6B" w14:textId="77777777" w:rsidR="005633BC" w:rsidRPr="005633BC" w:rsidRDefault="005633BC" w:rsidP="005633BC">
            <w:pPr>
              <w:ind w:left="0" w:firstLine="0"/>
              <w:jc w:val="left"/>
              <w:rPr>
                <w:rFonts w:ascii="Times New Roman" w:hAnsi="Times New Roman"/>
                <w:b/>
                <w:sz w:val="24"/>
                <w:szCs w:val="24"/>
                <w:u w:val="single"/>
              </w:rPr>
            </w:pPr>
            <w:r w:rsidRPr="005633BC">
              <w:rPr>
                <w:rFonts w:ascii="Times New Roman" w:hAnsi="Times New Roman"/>
                <w:b/>
                <w:sz w:val="24"/>
                <w:szCs w:val="24"/>
                <w:u w:val="single"/>
              </w:rPr>
              <w:t xml:space="preserve">Development Policies 36 to 39 (Historic Environment):  </w:t>
            </w:r>
          </w:p>
          <w:p w14:paraId="375AF814" w14:textId="77777777" w:rsidR="005633BC" w:rsidRPr="005633BC" w:rsidRDefault="005633BC" w:rsidP="005633BC">
            <w:pPr>
              <w:numPr>
                <w:ilvl w:val="0"/>
                <w:numId w:val="14"/>
              </w:numPr>
              <w:jc w:val="left"/>
              <w:rPr>
                <w:rFonts w:ascii="Times New Roman" w:hAnsi="Times New Roman"/>
                <w:sz w:val="24"/>
                <w:szCs w:val="24"/>
                <w:u w:val="single"/>
              </w:rPr>
            </w:pPr>
            <w:r w:rsidRPr="005633BC">
              <w:rPr>
                <w:rFonts w:ascii="Times New Roman" w:hAnsi="Times New Roman"/>
                <w:b/>
                <w:i/>
                <w:sz w:val="24"/>
                <w:szCs w:val="24"/>
                <w:u w:val="single"/>
              </w:rPr>
              <w:t>Conservation Areas:</w:t>
            </w:r>
            <w:r w:rsidRPr="005633BC">
              <w:rPr>
                <w:rFonts w:ascii="Times New Roman" w:hAnsi="Times New Roman"/>
                <w:sz w:val="24"/>
                <w:szCs w:val="24"/>
                <w:u w:val="single"/>
              </w:rPr>
              <w:t xml:space="preserve">  number of Conservation Areas and proportion with up-to-date appraisals;  number of CA applications that enhance a CA;  number of applications that detract from CA character or result in loss of open space that contributes to character;  number of cases affecting the setting of a CA by developing countryside immediately bordering historic settlement.</w:t>
            </w:r>
          </w:p>
          <w:p w14:paraId="37EBF8AC" w14:textId="77777777" w:rsidR="005633BC" w:rsidRPr="005633BC" w:rsidRDefault="005633BC" w:rsidP="005633BC">
            <w:pPr>
              <w:numPr>
                <w:ilvl w:val="0"/>
                <w:numId w:val="14"/>
              </w:numPr>
              <w:jc w:val="left"/>
              <w:rPr>
                <w:rFonts w:ascii="Times New Roman" w:hAnsi="Times New Roman"/>
                <w:sz w:val="24"/>
                <w:szCs w:val="24"/>
                <w:u w:val="single"/>
              </w:rPr>
            </w:pPr>
            <w:r w:rsidRPr="005633BC">
              <w:rPr>
                <w:rFonts w:ascii="Times New Roman" w:hAnsi="Times New Roman"/>
                <w:b/>
                <w:i/>
                <w:sz w:val="24"/>
                <w:szCs w:val="24"/>
                <w:u w:val="single"/>
              </w:rPr>
              <w:t>Listed Buildings and locally listed buildings:</w:t>
            </w:r>
            <w:r w:rsidRPr="005633BC">
              <w:rPr>
                <w:rFonts w:ascii="Times New Roman" w:hAnsi="Times New Roman"/>
                <w:sz w:val="24"/>
                <w:szCs w:val="24"/>
                <w:u w:val="single"/>
              </w:rPr>
              <w:t xml:space="preserve">  number of listed building consent applications involving loss of fabric and/or character not offset by beneficial changes; number of applications notifiable to Historic England and amenity societies;  number of applications involving harm only justifiable on basis of being clearly outweighed by substantial </w:t>
            </w:r>
            <w:r w:rsidRPr="005633BC">
              <w:rPr>
                <w:rFonts w:ascii="Times New Roman" w:hAnsi="Times New Roman"/>
                <w:i/>
                <w:sz w:val="24"/>
                <w:szCs w:val="24"/>
                <w:u w:val="single"/>
              </w:rPr>
              <w:t>public</w:t>
            </w:r>
            <w:r w:rsidRPr="005633BC">
              <w:rPr>
                <w:rFonts w:ascii="Times New Roman" w:hAnsi="Times New Roman"/>
                <w:sz w:val="24"/>
                <w:szCs w:val="24"/>
                <w:u w:val="single"/>
              </w:rPr>
              <w:t xml:space="preserve"> benefits; number of applications in which setting issues are an adverse material consideration;  </w:t>
            </w:r>
          </w:p>
          <w:p w14:paraId="72AFBD6A" w14:textId="77777777" w:rsidR="005633BC" w:rsidRPr="005633BC" w:rsidRDefault="005633BC" w:rsidP="005633BC">
            <w:pPr>
              <w:numPr>
                <w:ilvl w:val="0"/>
                <w:numId w:val="14"/>
              </w:numPr>
              <w:jc w:val="left"/>
              <w:rPr>
                <w:rFonts w:ascii="Times New Roman" w:hAnsi="Times New Roman"/>
                <w:sz w:val="24"/>
                <w:szCs w:val="24"/>
                <w:u w:val="single"/>
              </w:rPr>
            </w:pPr>
            <w:r w:rsidRPr="005633BC">
              <w:rPr>
                <w:rFonts w:ascii="Times New Roman" w:hAnsi="Times New Roman"/>
                <w:b/>
                <w:i/>
                <w:sz w:val="24"/>
                <w:szCs w:val="24"/>
                <w:u w:val="single"/>
              </w:rPr>
              <w:t>Registered Parks and Gardens:</w:t>
            </w:r>
            <w:r w:rsidRPr="005633BC">
              <w:rPr>
                <w:rFonts w:ascii="Times New Roman" w:hAnsi="Times New Roman"/>
                <w:sz w:val="24"/>
                <w:szCs w:val="24"/>
                <w:u w:val="single"/>
              </w:rPr>
              <w:t xml:space="preserve">  number of applications involving loss of fabric and/or character not offset by beneficial changes;  number of applications notifiable to Historic England and amenity society;  </w:t>
            </w:r>
          </w:p>
          <w:p w14:paraId="5B029107" w14:textId="77777777" w:rsidR="005633BC" w:rsidRPr="005633BC" w:rsidRDefault="005633BC" w:rsidP="005633BC">
            <w:pPr>
              <w:numPr>
                <w:ilvl w:val="0"/>
                <w:numId w:val="14"/>
              </w:numPr>
              <w:jc w:val="left"/>
              <w:rPr>
                <w:rFonts w:ascii="Times New Roman" w:hAnsi="Times New Roman"/>
                <w:sz w:val="24"/>
                <w:szCs w:val="24"/>
                <w:u w:val="single"/>
              </w:rPr>
            </w:pPr>
            <w:r w:rsidRPr="005633BC">
              <w:rPr>
                <w:rFonts w:ascii="Times New Roman" w:hAnsi="Times New Roman"/>
                <w:b/>
                <w:i/>
                <w:sz w:val="24"/>
                <w:szCs w:val="24"/>
                <w:u w:val="single"/>
              </w:rPr>
              <w:t>Scheduled Monuments and archaeology:</w:t>
            </w:r>
            <w:r w:rsidRPr="005633BC">
              <w:rPr>
                <w:rFonts w:ascii="Times New Roman" w:hAnsi="Times New Roman"/>
                <w:sz w:val="24"/>
                <w:szCs w:val="24"/>
                <w:u w:val="single"/>
              </w:rPr>
              <w:t xml:space="preserve">  number of applications requiring Scheduled Monument Consent for loss of fabric;  number of applications requiring desk studies, field evaluation/survey and full investigation;  number of excavations ove 20m</w:t>
            </w:r>
            <w:r w:rsidRPr="005633BC">
              <w:rPr>
                <w:rFonts w:ascii="Times New Roman" w:hAnsi="Times New Roman"/>
                <w:sz w:val="24"/>
                <w:szCs w:val="24"/>
                <w:u w:val="single"/>
                <w:vertAlign w:val="superscript"/>
              </w:rPr>
              <w:t>2</w:t>
            </w:r>
          </w:p>
          <w:p w14:paraId="0C82AD9C" w14:textId="77777777" w:rsidR="005633BC" w:rsidRPr="005633BC" w:rsidRDefault="005633BC" w:rsidP="005633BC">
            <w:pPr>
              <w:numPr>
                <w:ilvl w:val="0"/>
                <w:numId w:val="14"/>
              </w:numPr>
              <w:jc w:val="left"/>
              <w:rPr>
                <w:rFonts w:ascii="Times New Roman" w:hAnsi="Times New Roman"/>
                <w:sz w:val="24"/>
                <w:szCs w:val="24"/>
                <w:u w:val="single"/>
              </w:rPr>
            </w:pPr>
            <w:r w:rsidRPr="005633BC">
              <w:rPr>
                <w:rFonts w:ascii="Times New Roman" w:hAnsi="Times New Roman"/>
                <w:b/>
                <w:i/>
                <w:sz w:val="24"/>
                <w:szCs w:val="24"/>
                <w:u w:val="single"/>
              </w:rPr>
              <w:t>Recording and Investigation:</w:t>
            </w:r>
            <w:r w:rsidRPr="005633BC">
              <w:rPr>
                <w:rFonts w:ascii="Times New Roman" w:hAnsi="Times New Roman"/>
                <w:sz w:val="24"/>
                <w:szCs w:val="24"/>
                <w:u w:val="single"/>
              </w:rPr>
              <w:t xml:space="preserve">  number of applications involving recording and investigation according to heritage asset type;  volume of storage space in public repositories required for investigation archives;  number of investigations published </w:t>
            </w:r>
            <w:r w:rsidRPr="005633BC">
              <w:rPr>
                <w:rFonts w:ascii="Times New Roman" w:hAnsi="Times New Roman"/>
                <w:sz w:val="24"/>
                <w:szCs w:val="24"/>
                <w:u w:val="single"/>
              </w:rPr>
              <w:lastRenderedPageBreak/>
              <w:t xml:space="preserve">(by type of publication) </w:t>
            </w:r>
          </w:p>
          <w:p w14:paraId="711C5C54" w14:textId="77777777" w:rsidR="005633BC" w:rsidRDefault="005633BC" w:rsidP="004D186E">
            <w:pPr>
              <w:ind w:left="0" w:firstLine="0"/>
              <w:jc w:val="left"/>
              <w:rPr>
                <w:rFonts w:ascii="Times New Roman" w:hAnsi="Times New Roman"/>
                <w:sz w:val="24"/>
                <w:szCs w:val="24"/>
              </w:rPr>
            </w:pPr>
          </w:p>
          <w:p w14:paraId="1EA6AF88" w14:textId="77777777" w:rsidR="005633BC" w:rsidRDefault="005633BC"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942A79D"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829FF36"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2B226491" w:rsidR="00056C94" w:rsidRPr="00B40447" w:rsidRDefault="00E2703F" w:rsidP="004335A8">
            <w:pPr>
              <w:ind w:left="0" w:right="-392" w:firstLine="0"/>
              <w:jc w:val="left"/>
              <w:rPr>
                <w:rFonts w:ascii="Arial" w:hAnsi="Arial" w:cs="Arial"/>
              </w:rPr>
            </w:pPr>
            <w:r>
              <w:rPr>
                <w:rFonts w:ascii="Arial" w:hAnsi="Arial" w:cs="Arial"/>
              </w:rPr>
              <w:t xml:space="preserve">CPRE has a long-standing concern with </w:t>
            </w:r>
            <w:r w:rsidR="004E5AC0">
              <w:rPr>
                <w:rFonts w:ascii="Arial" w:hAnsi="Arial" w:cs="Arial"/>
              </w:rPr>
              <w:t>this issue</w:t>
            </w:r>
            <w:r>
              <w:rPr>
                <w:rFonts w:ascii="Arial" w:hAnsi="Arial" w:cs="Arial"/>
              </w:rPr>
              <w:t xml:space="preserve">, and would </w:t>
            </w:r>
            <w:r w:rsidR="006100BB">
              <w:rPr>
                <w:rFonts w:ascii="Arial" w:hAnsi="Arial" w:cs="Arial"/>
              </w:rPr>
              <w:t xml:space="preserve">very much </w:t>
            </w:r>
            <w:r>
              <w:rPr>
                <w:rFonts w:ascii="Arial" w:hAnsi="Arial" w:cs="Arial"/>
              </w:rPr>
              <w:t xml:space="preserve">wish the opportunity to contribute to </w:t>
            </w:r>
            <w:r w:rsidR="006100BB">
              <w:rPr>
                <w:rFonts w:ascii="Arial" w:hAnsi="Arial" w:cs="Arial"/>
              </w:rPr>
              <w:t>this discussion.</w:t>
            </w:r>
            <w:r>
              <w:rPr>
                <w:rFonts w:ascii="Arial" w:hAnsi="Arial" w:cs="Arial"/>
              </w:rPr>
              <w:t xml:space="preserve"> </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3C5659E"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59EC27F"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w:t>
      </w:r>
      <w:r w:rsidRPr="004335A8">
        <w:rPr>
          <w:rFonts w:ascii="Arial" w:hAnsi="Arial" w:cs="Arial"/>
          <w:color w:val="000000"/>
          <w:sz w:val="22"/>
          <w:szCs w:val="22"/>
        </w:rPr>
        <w:lastRenderedPageBreak/>
        <w:t xml:space="preserve">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A6EA5BC"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D64D63F"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16D6664"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97BC5" w14:textId="77777777" w:rsidR="00327526" w:rsidRDefault="00327526">
      <w:r>
        <w:separator/>
      </w:r>
    </w:p>
  </w:endnote>
  <w:endnote w:type="continuationSeparator" w:id="0">
    <w:p w14:paraId="6FE94B9F" w14:textId="77777777" w:rsidR="00327526" w:rsidRDefault="0032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47EF7311" w:rsidR="004F71B3" w:rsidRDefault="004F71B3">
        <w:pPr>
          <w:pStyle w:val="Footer"/>
          <w:jc w:val="right"/>
        </w:pPr>
        <w:r>
          <w:fldChar w:fldCharType="begin"/>
        </w:r>
        <w:r>
          <w:instrText xml:space="preserve"> PAGE   \* MERGEFORMAT </w:instrText>
        </w:r>
        <w:r>
          <w:fldChar w:fldCharType="separate"/>
        </w:r>
        <w:r w:rsidR="005633BC">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5443C" w14:textId="77777777" w:rsidR="00327526" w:rsidRDefault="00327526">
      <w:r>
        <w:separator/>
      </w:r>
    </w:p>
  </w:footnote>
  <w:footnote w:type="continuationSeparator" w:id="0">
    <w:p w14:paraId="7E0466F0" w14:textId="77777777" w:rsidR="00327526" w:rsidRDefault="00327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64E97"/>
    <w:multiLevelType w:val="hybridMultilevel"/>
    <w:tmpl w:val="A37AEAC0"/>
    <w:lvl w:ilvl="0" w:tplc="8DFA3BD2">
      <w:start w:val="4"/>
      <w:numFmt w:val="bullet"/>
      <w:lvlText w:val="-"/>
      <w:lvlJc w:val="left"/>
      <w:pPr>
        <w:tabs>
          <w:tab w:val="num" w:pos="720"/>
        </w:tabs>
        <w:ind w:left="720" w:hanging="360"/>
      </w:pPr>
      <w:rPr>
        <w:rFonts w:ascii="Arial" w:eastAsia="Times New Roman" w:hAnsi="Arial" w:cs="Times New Roman"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7435691"/>
    <w:multiLevelType w:val="hybridMultilevel"/>
    <w:tmpl w:val="D7FEAC86"/>
    <w:lvl w:ilvl="0" w:tplc="234C64D0">
      <w:start w:val="1"/>
      <w:numFmt w:val="decimal"/>
      <w:lvlText w:val="%1."/>
      <w:lvlJc w:val="left"/>
      <w:pPr>
        <w:ind w:left="-4" w:hanging="705"/>
      </w:pPr>
      <w:rPr>
        <w:rFonts w:hint="default"/>
      </w:rPr>
    </w:lvl>
    <w:lvl w:ilvl="1" w:tplc="08090019">
      <w:start w:val="1"/>
      <w:numFmt w:val="lowerLetter"/>
      <w:lvlText w:val="%2."/>
      <w:lvlJc w:val="left"/>
      <w:pPr>
        <w:ind w:left="371" w:hanging="360"/>
      </w:pPr>
    </w:lvl>
    <w:lvl w:ilvl="2" w:tplc="0809001B">
      <w:start w:val="1"/>
      <w:numFmt w:val="lowerRoman"/>
      <w:lvlText w:val="%3."/>
      <w:lvlJc w:val="right"/>
      <w:pPr>
        <w:ind w:left="1091" w:hanging="180"/>
      </w:pPr>
    </w:lvl>
    <w:lvl w:ilvl="3" w:tplc="0809000F" w:tentative="1">
      <w:start w:val="1"/>
      <w:numFmt w:val="decimal"/>
      <w:lvlText w:val="%4."/>
      <w:lvlJc w:val="left"/>
      <w:pPr>
        <w:ind w:left="1811" w:hanging="360"/>
      </w:p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6">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7">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1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9"/>
  </w:num>
  <w:num w:numId="2">
    <w:abstractNumId w:val="9"/>
  </w:num>
  <w:num w:numId="3">
    <w:abstractNumId w:val="9"/>
  </w:num>
  <w:num w:numId="4">
    <w:abstractNumId w:val="9"/>
  </w:num>
  <w:num w:numId="5">
    <w:abstractNumId w:val="4"/>
  </w:num>
  <w:num w:numId="6">
    <w:abstractNumId w:val="6"/>
  </w:num>
  <w:num w:numId="7">
    <w:abstractNumId w:val="3"/>
  </w:num>
  <w:num w:numId="8">
    <w:abstractNumId w:val="7"/>
  </w:num>
  <w:num w:numId="9">
    <w:abstractNumId w:val="8"/>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7D34"/>
    <w:rsid w:val="00025FBA"/>
    <w:rsid w:val="000373C0"/>
    <w:rsid w:val="00056C94"/>
    <w:rsid w:val="00074023"/>
    <w:rsid w:val="0008109F"/>
    <w:rsid w:val="000B17B0"/>
    <w:rsid w:val="001126C6"/>
    <w:rsid w:val="00123D71"/>
    <w:rsid w:val="001248E5"/>
    <w:rsid w:val="00137B1D"/>
    <w:rsid w:val="00165AC9"/>
    <w:rsid w:val="0016784A"/>
    <w:rsid w:val="001B59D5"/>
    <w:rsid w:val="001E69A2"/>
    <w:rsid w:val="001F57C0"/>
    <w:rsid w:val="002139D4"/>
    <w:rsid w:val="0024306D"/>
    <w:rsid w:val="00276328"/>
    <w:rsid w:val="00285262"/>
    <w:rsid w:val="00291DCA"/>
    <w:rsid w:val="002A1FEE"/>
    <w:rsid w:val="002B14FA"/>
    <w:rsid w:val="002B5D1D"/>
    <w:rsid w:val="002E77F5"/>
    <w:rsid w:val="00300C43"/>
    <w:rsid w:val="003018E4"/>
    <w:rsid w:val="00315291"/>
    <w:rsid w:val="00327526"/>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80BD3"/>
    <w:rsid w:val="004A315E"/>
    <w:rsid w:val="004A3B9E"/>
    <w:rsid w:val="004E5AC0"/>
    <w:rsid w:val="004F71B3"/>
    <w:rsid w:val="00506413"/>
    <w:rsid w:val="00532E35"/>
    <w:rsid w:val="00535338"/>
    <w:rsid w:val="00553F8B"/>
    <w:rsid w:val="005633BC"/>
    <w:rsid w:val="00593230"/>
    <w:rsid w:val="005B2159"/>
    <w:rsid w:val="005C3AC0"/>
    <w:rsid w:val="005C609F"/>
    <w:rsid w:val="005C7CD3"/>
    <w:rsid w:val="005E6D06"/>
    <w:rsid w:val="005F167C"/>
    <w:rsid w:val="006100BB"/>
    <w:rsid w:val="0066657B"/>
    <w:rsid w:val="00677FC9"/>
    <w:rsid w:val="00682C2B"/>
    <w:rsid w:val="00683964"/>
    <w:rsid w:val="00696170"/>
    <w:rsid w:val="006C4279"/>
    <w:rsid w:val="006D468D"/>
    <w:rsid w:val="006E3D07"/>
    <w:rsid w:val="006F794B"/>
    <w:rsid w:val="007124B1"/>
    <w:rsid w:val="00736FE3"/>
    <w:rsid w:val="00777BEC"/>
    <w:rsid w:val="00780A0D"/>
    <w:rsid w:val="00782F8C"/>
    <w:rsid w:val="007A3262"/>
    <w:rsid w:val="007A4341"/>
    <w:rsid w:val="007C7A9B"/>
    <w:rsid w:val="007D17B7"/>
    <w:rsid w:val="007E5B5F"/>
    <w:rsid w:val="0082403A"/>
    <w:rsid w:val="00853890"/>
    <w:rsid w:val="00861422"/>
    <w:rsid w:val="00870132"/>
    <w:rsid w:val="008857CF"/>
    <w:rsid w:val="00894AC4"/>
    <w:rsid w:val="008B4DF0"/>
    <w:rsid w:val="008C42B3"/>
    <w:rsid w:val="008E2CA0"/>
    <w:rsid w:val="008F3604"/>
    <w:rsid w:val="008F7B4F"/>
    <w:rsid w:val="0091061B"/>
    <w:rsid w:val="00910A69"/>
    <w:rsid w:val="00925A50"/>
    <w:rsid w:val="00963643"/>
    <w:rsid w:val="00971BDD"/>
    <w:rsid w:val="009820DE"/>
    <w:rsid w:val="00982986"/>
    <w:rsid w:val="0098611A"/>
    <w:rsid w:val="009974D4"/>
    <w:rsid w:val="009B6856"/>
    <w:rsid w:val="009C3C1D"/>
    <w:rsid w:val="009C4748"/>
    <w:rsid w:val="009C6EE7"/>
    <w:rsid w:val="009E1EC3"/>
    <w:rsid w:val="009F42A7"/>
    <w:rsid w:val="009F60BB"/>
    <w:rsid w:val="00A0043D"/>
    <w:rsid w:val="00A039D7"/>
    <w:rsid w:val="00A4481B"/>
    <w:rsid w:val="00A523D8"/>
    <w:rsid w:val="00A540E1"/>
    <w:rsid w:val="00A60E6B"/>
    <w:rsid w:val="00A775D3"/>
    <w:rsid w:val="00A87000"/>
    <w:rsid w:val="00A87B80"/>
    <w:rsid w:val="00AB08BB"/>
    <w:rsid w:val="00AB3190"/>
    <w:rsid w:val="00AB5E55"/>
    <w:rsid w:val="00AF2322"/>
    <w:rsid w:val="00AF749E"/>
    <w:rsid w:val="00B07335"/>
    <w:rsid w:val="00B40447"/>
    <w:rsid w:val="00B516A6"/>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DF2431"/>
    <w:rsid w:val="00E2703F"/>
    <w:rsid w:val="00E3545D"/>
    <w:rsid w:val="00E541FB"/>
    <w:rsid w:val="00E731F8"/>
    <w:rsid w:val="00E743F1"/>
    <w:rsid w:val="00E833D0"/>
    <w:rsid w:val="00E85841"/>
    <w:rsid w:val="00E862C1"/>
    <w:rsid w:val="00E9681E"/>
    <w:rsid w:val="00EA58D9"/>
    <w:rsid w:val="00EC09F4"/>
    <w:rsid w:val="00EE1E98"/>
    <w:rsid w:val="00EE5581"/>
    <w:rsid w:val="00EF4EC2"/>
    <w:rsid w:val="00F17F1F"/>
    <w:rsid w:val="00F27CB0"/>
    <w:rsid w:val="00F87CB9"/>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048770">
      <w:bodyDiv w:val="1"/>
      <w:marLeft w:val="0"/>
      <w:marRight w:val="0"/>
      <w:marTop w:val="0"/>
      <w:marBottom w:val="0"/>
      <w:divBdr>
        <w:top w:val="none" w:sz="0" w:space="0" w:color="auto"/>
        <w:left w:val="none" w:sz="0" w:space="0" w:color="auto"/>
        <w:bottom w:val="none" w:sz="0" w:space="0" w:color="auto"/>
        <w:right w:val="none" w:sz="0" w:space="0" w:color="auto"/>
      </w:divBdr>
    </w:div>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669411290">
      <w:bodyDiv w:val="1"/>
      <w:marLeft w:val="0"/>
      <w:marRight w:val="0"/>
      <w:marTop w:val="0"/>
      <w:marBottom w:val="0"/>
      <w:divBdr>
        <w:top w:val="none" w:sz="0" w:space="0" w:color="auto"/>
        <w:left w:val="none" w:sz="0" w:space="0" w:color="auto"/>
        <w:bottom w:val="none" w:sz="0" w:space="0" w:color="auto"/>
        <w:right w:val="none" w:sz="0" w:space="0" w:color="auto"/>
      </w:divBdr>
    </w:div>
    <w:div w:id="1204755923">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whitehorsedc.gov.uk" TargetMode="External"/><Relationship Id="rId5" Type="http://schemas.openxmlformats.org/officeDocument/2006/relationships/webSettings" Target="webSettings.xml"/><Relationship Id="rId10" Type="http://schemas.openxmlformats.org/officeDocument/2006/relationships/hyperlink" Target="mailto:planning.policy@whitehorsedc.gov.uk" TargetMode="External"/><Relationship Id="rId4" Type="http://schemas.openxmlformats.org/officeDocument/2006/relationships/settings" Target="settings.xml"/><Relationship Id="rId9" Type="http://schemas.openxmlformats.org/officeDocument/2006/relationships/hyperlink" Target="mailto:planning.policy@whitehorsedc.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2514</Words>
  <Characters>14331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16812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3</cp:revision>
  <cp:lastPrinted>2017-09-29T15:04:00Z</cp:lastPrinted>
  <dcterms:created xsi:type="dcterms:W3CDTF">2017-11-22T10:34:00Z</dcterms:created>
  <dcterms:modified xsi:type="dcterms:W3CDTF">2017-11-22T10:38:00Z</dcterms:modified>
</cp:coreProperties>
</file>